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509C" w:rsidRDefault="0080509C" w:rsidP="00FE7D71">
      <w:pPr>
        <w:spacing w:beforeLines="50" w:before="156" w:afterLines="50" w:after="156" w:line="360" w:lineRule="auto"/>
        <w:ind w:leftChars="-202" w:rightChars="-162" w:right="-340" w:hangingChars="151" w:hanging="424"/>
        <w:jc w:val="center"/>
        <w:rPr>
          <w:rFonts w:ascii="Times New Roman" w:cs="Times New Roman"/>
          <w:b/>
          <w:sz w:val="28"/>
        </w:rPr>
      </w:pPr>
      <w:r>
        <w:rPr>
          <w:rFonts w:ascii="Times New Roman" w:cs="Times New Roman" w:hint="eastAsia"/>
          <w:b/>
          <w:sz w:val="28"/>
        </w:rPr>
        <w:t>“</w:t>
      </w:r>
      <w:r w:rsidR="00E617A2" w:rsidRPr="00910ED5">
        <w:rPr>
          <w:rFonts w:ascii="Times New Roman" w:cs="Times New Roman"/>
          <w:b/>
          <w:sz w:val="28"/>
        </w:rPr>
        <w:t>沃顿商学院</w:t>
      </w:r>
      <w:r w:rsidR="00E617A2" w:rsidRPr="00910ED5">
        <w:rPr>
          <w:rFonts w:ascii="Times New Roman" w:hAnsi="Times New Roman" w:cs="Times New Roman"/>
          <w:b/>
          <w:sz w:val="28"/>
        </w:rPr>
        <w:t>/</w:t>
      </w:r>
      <w:r w:rsidR="00E617A2" w:rsidRPr="00910ED5">
        <w:rPr>
          <w:rFonts w:ascii="Times New Roman" w:cs="Times New Roman"/>
          <w:b/>
          <w:sz w:val="28"/>
        </w:rPr>
        <w:t>新加坡国立大学</w:t>
      </w:r>
      <w:r w:rsidR="00E617A2" w:rsidRPr="00910ED5">
        <w:rPr>
          <w:rFonts w:ascii="Times New Roman" w:hAnsi="Times New Roman" w:cs="Times New Roman"/>
          <w:b/>
          <w:sz w:val="28"/>
        </w:rPr>
        <w:t>/</w:t>
      </w:r>
      <w:r w:rsidR="00E617A2" w:rsidRPr="00910ED5">
        <w:rPr>
          <w:rFonts w:ascii="Times New Roman" w:cs="Times New Roman"/>
          <w:b/>
          <w:sz w:val="28"/>
        </w:rPr>
        <w:t>清华大学</w:t>
      </w:r>
      <w:r w:rsidR="00F0184D">
        <w:rPr>
          <w:rFonts w:ascii="Times New Roman" w:cs="Times New Roman"/>
          <w:b/>
          <w:sz w:val="28"/>
        </w:rPr>
        <w:br/>
      </w:r>
      <w:r w:rsidR="007F4D53" w:rsidRPr="00910ED5">
        <w:rPr>
          <w:rFonts w:ascii="Times New Roman" w:cs="Times New Roman"/>
          <w:b/>
          <w:sz w:val="28"/>
        </w:rPr>
        <w:t>中国居住用地</w:t>
      </w:r>
      <w:r w:rsidR="00E617A2" w:rsidRPr="00910ED5">
        <w:rPr>
          <w:rFonts w:ascii="Times New Roman" w:cs="Times New Roman"/>
          <w:b/>
          <w:sz w:val="28"/>
        </w:rPr>
        <w:t>价格指数</w:t>
      </w:r>
      <w:r w:rsidRPr="00910ED5">
        <w:rPr>
          <w:rFonts w:ascii="Times New Roman" w:cs="Times New Roman"/>
          <w:b/>
          <w:sz w:val="28"/>
        </w:rPr>
        <w:t>（</w:t>
      </w:r>
      <w:r w:rsidRPr="00910ED5">
        <w:rPr>
          <w:rFonts w:ascii="Times New Roman" w:hAnsi="Times New Roman" w:cs="Times New Roman"/>
          <w:b/>
          <w:sz w:val="28"/>
        </w:rPr>
        <w:t>CRLPI</w:t>
      </w:r>
      <w:r w:rsidRPr="00910ED5">
        <w:rPr>
          <w:rFonts w:ascii="Times New Roman" w:cs="Times New Roman"/>
          <w:b/>
          <w:sz w:val="28"/>
        </w:rPr>
        <w:t>）</w:t>
      </w:r>
      <w:r>
        <w:rPr>
          <w:rFonts w:ascii="Times New Roman" w:cs="Times New Roman" w:hint="eastAsia"/>
          <w:b/>
          <w:sz w:val="28"/>
        </w:rPr>
        <w:t>”</w:t>
      </w:r>
      <w:r w:rsidR="00867D27" w:rsidRPr="00867D27">
        <w:rPr>
          <w:rFonts w:ascii="Times New Roman" w:cs="Times New Roman" w:hint="eastAsia"/>
          <w:b/>
          <w:sz w:val="28"/>
          <w:vertAlign w:val="superscript"/>
        </w:rPr>
        <w:t>*,#</w:t>
      </w:r>
    </w:p>
    <w:p w:rsidR="00324EB6" w:rsidRPr="00910ED5" w:rsidRDefault="0080509C" w:rsidP="00FE7D71">
      <w:pPr>
        <w:spacing w:beforeLines="50" w:before="156" w:afterLines="50" w:after="156" w:line="360" w:lineRule="auto"/>
        <w:jc w:val="center"/>
        <w:rPr>
          <w:rFonts w:ascii="Times New Roman" w:hAnsi="Times New Roman" w:cs="Times New Roman"/>
          <w:b/>
          <w:sz w:val="28"/>
        </w:rPr>
      </w:pPr>
      <w:r>
        <w:rPr>
          <w:rFonts w:ascii="Times New Roman" w:cs="Times New Roman" w:hint="eastAsia"/>
          <w:b/>
          <w:sz w:val="28"/>
        </w:rPr>
        <w:t>技术</w:t>
      </w:r>
      <w:r w:rsidR="00E617A2" w:rsidRPr="00910ED5">
        <w:rPr>
          <w:rFonts w:ascii="Times New Roman" w:cs="Times New Roman"/>
          <w:b/>
          <w:sz w:val="28"/>
        </w:rPr>
        <w:t>白皮书</w:t>
      </w:r>
    </w:p>
    <w:p w:rsidR="00324EB6" w:rsidRDefault="002B7BC8" w:rsidP="00FE7D71">
      <w:pPr>
        <w:spacing w:beforeLines="50" w:before="156" w:afterLines="50" w:after="156" w:line="360" w:lineRule="auto"/>
        <w:jc w:val="center"/>
        <w:rPr>
          <w:rFonts w:ascii="Times New Roman" w:hAnsi="Times New Roman" w:cs="Times New Roman"/>
        </w:rPr>
      </w:pPr>
      <w:r>
        <w:rPr>
          <w:rFonts w:ascii="Times New Roman" w:hAnsi="Times New Roman" w:cs="Times New Roman" w:hint="eastAsia"/>
        </w:rPr>
        <w:t>201</w:t>
      </w:r>
      <w:r>
        <w:rPr>
          <w:rFonts w:ascii="Times New Roman" w:hAnsi="Times New Roman" w:cs="Times New Roman"/>
        </w:rPr>
        <w:t>4</w:t>
      </w:r>
      <w:r>
        <w:rPr>
          <w:rFonts w:ascii="Times New Roman" w:hAnsi="Times New Roman" w:cs="Times New Roman" w:hint="eastAsia"/>
        </w:rPr>
        <w:t>年</w:t>
      </w:r>
      <w:r>
        <w:rPr>
          <w:rFonts w:ascii="Times New Roman" w:hAnsi="Times New Roman" w:cs="Times New Roman"/>
        </w:rPr>
        <w:t>9</w:t>
      </w:r>
      <w:r w:rsidR="00220902">
        <w:rPr>
          <w:rFonts w:ascii="Times New Roman" w:hAnsi="Times New Roman" w:cs="Times New Roman" w:hint="eastAsia"/>
        </w:rPr>
        <w:t>月</w:t>
      </w:r>
    </w:p>
    <w:p w:rsidR="00220902" w:rsidRPr="00867D27" w:rsidRDefault="00220902" w:rsidP="00FE7D71">
      <w:pPr>
        <w:spacing w:beforeLines="50" w:before="156" w:afterLines="50" w:after="156" w:line="360" w:lineRule="auto"/>
        <w:jc w:val="center"/>
        <w:rPr>
          <w:rFonts w:ascii="Times New Roman" w:hAnsi="Times New Roman" w:cs="Times New Roman"/>
        </w:rPr>
      </w:pPr>
    </w:p>
    <w:p w:rsidR="00304A76" w:rsidRPr="00924C61" w:rsidRDefault="007F4D53" w:rsidP="00FE7D71">
      <w:pPr>
        <w:spacing w:beforeLines="50" w:before="156" w:afterLines="50" w:after="156"/>
        <w:jc w:val="center"/>
        <w:rPr>
          <w:rFonts w:ascii="Times New Roman" w:hAnsi="Times New Roman" w:cs="Times New Roman"/>
          <w:sz w:val="24"/>
          <w:lang w:val="en-SG"/>
        </w:rPr>
      </w:pPr>
      <w:r w:rsidRPr="00924C61">
        <w:rPr>
          <w:rFonts w:ascii="Times New Roman" w:hAnsi="Times New Roman" w:cs="Times New Roman"/>
          <w:sz w:val="24"/>
          <w:lang w:val="en-SG"/>
        </w:rPr>
        <w:t>邓永恒</w:t>
      </w:r>
    </w:p>
    <w:p w:rsidR="007F4D53" w:rsidRPr="003A243E" w:rsidRDefault="007F4D53" w:rsidP="00FE7D71">
      <w:pPr>
        <w:spacing w:beforeLines="50" w:before="156" w:afterLines="50" w:after="156"/>
        <w:jc w:val="center"/>
        <w:rPr>
          <w:rFonts w:ascii="Times New Roman" w:hAnsi="Times New Roman" w:cs="Times New Roman"/>
          <w:lang w:val="en-SG"/>
        </w:rPr>
      </w:pPr>
      <w:r w:rsidRPr="003A243E">
        <w:rPr>
          <w:rFonts w:ascii="Times New Roman" w:hAnsi="Times New Roman" w:cs="Times New Roman"/>
          <w:lang w:val="en-SG"/>
        </w:rPr>
        <w:t>新加坡国立大学</w:t>
      </w:r>
      <w:r w:rsidR="0080509C">
        <w:rPr>
          <w:rFonts w:ascii="Times New Roman" w:hAnsi="Times New Roman" w:cs="Times New Roman"/>
          <w:lang w:val="en-SG"/>
        </w:rPr>
        <w:t>房地产研究</w:t>
      </w:r>
      <w:r w:rsidR="0080509C">
        <w:rPr>
          <w:rFonts w:ascii="Times New Roman" w:hAnsi="Times New Roman" w:cs="Times New Roman" w:hint="eastAsia"/>
          <w:lang w:val="en-SG"/>
        </w:rPr>
        <w:t>院</w:t>
      </w:r>
      <w:r w:rsidR="00F0184D">
        <w:rPr>
          <w:rFonts w:ascii="Times New Roman" w:hAnsi="Times New Roman" w:cs="Times New Roman" w:hint="eastAsia"/>
          <w:lang w:val="en-SG"/>
        </w:rPr>
        <w:t>；</w:t>
      </w:r>
      <w:r w:rsidR="0080509C" w:rsidRPr="003A243E">
        <w:rPr>
          <w:rFonts w:ascii="Times New Roman" w:hAnsi="Times New Roman" w:cs="Times New Roman"/>
          <w:lang w:val="en-SG"/>
        </w:rPr>
        <w:t>新加坡国立大学</w:t>
      </w:r>
      <w:r w:rsidRPr="003A243E">
        <w:rPr>
          <w:rFonts w:ascii="Times New Roman" w:hAnsi="Times New Roman" w:cs="Times New Roman"/>
          <w:lang w:val="en-SG"/>
        </w:rPr>
        <w:t>商学院</w:t>
      </w:r>
      <w:r w:rsidR="00F0184D">
        <w:rPr>
          <w:rFonts w:ascii="Times New Roman" w:hAnsi="Times New Roman" w:cs="Times New Roman" w:hint="eastAsia"/>
          <w:lang w:val="en-SG"/>
        </w:rPr>
        <w:t>；</w:t>
      </w:r>
      <w:r w:rsidR="0080509C" w:rsidRPr="003A243E">
        <w:rPr>
          <w:rFonts w:ascii="Times New Roman" w:hAnsi="Times New Roman" w:cs="Times New Roman"/>
          <w:lang w:val="en-SG"/>
        </w:rPr>
        <w:t>新加坡国立大学环境与设计学院</w:t>
      </w:r>
    </w:p>
    <w:p w:rsidR="007F4D53" w:rsidRPr="003A243E" w:rsidRDefault="006D6425" w:rsidP="00FE7D71">
      <w:pPr>
        <w:spacing w:beforeLines="50" w:before="156" w:afterLines="50" w:after="156"/>
        <w:jc w:val="center"/>
        <w:rPr>
          <w:rFonts w:ascii="Times New Roman" w:hAnsi="Times New Roman" w:cs="Times New Roman"/>
          <w:lang w:val="en-SG"/>
        </w:rPr>
      </w:pPr>
      <w:hyperlink r:id="rId8" w:history="1">
        <w:r w:rsidR="00695189" w:rsidRPr="00FC0384">
          <w:rPr>
            <w:rStyle w:val="a8"/>
            <w:rFonts w:ascii="Times New Roman" w:hAnsi="Times New Roman" w:cs="Times New Roman"/>
            <w:lang w:val="en-SG"/>
          </w:rPr>
          <w:t>ydeng@nus.edu.sg</w:t>
        </w:r>
      </w:hyperlink>
    </w:p>
    <w:p w:rsidR="00304A76" w:rsidRPr="003A243E" w:rsidRDefault="00304A76" w:rsidP="00FE7D71">
      <w:pPr>
        <w:spacing w:beforeLines="50" w:before="156" w:afterLines="50" w:after="156"/>
        <w:jc w:val="center"/>
        <w:rPr>
          <w:rFonts w:ascii="Times New Roman" w:hAnsi="Times New Roman" w:cs="Times New Roman"/>
        </w:rPr>
      </w:pPr>
    </w:p>
    <w:p w:rsidR="00304A76" w:rsidRPr="00924C61" w:rsidRDefault="00304A76" w:rsidP="00FE7D71">
      <w:pPr>
        <w:spacing w:beforeLines="50" w:before="156" w:afterLines="50" w:after="156"/>
        <w:jc w:val="center"/>
        <w:rPr>
          <w:rFonts w:ascii="Times New Roman" w:eastAsia="宋体" w:hAnsi="Times New Roman" w:cs="Times New Roman"/>
          <w:sz w:val="24"/>
        </w:rPr>
      </w:pPr>
      <w:r w:rsidRPr="00924C61">
        <w:rPr>
          <w:rFonts w:ascii="Times New Roman" w:eastAsia="宋体" w:hAnsi="Times New Roman" w:cs="Times New Roman"/>
          <w:sz w:val="24"/>
        </w:rPr>
        <w:t>Joseph Gyourko</w:t>
      </w:r>
    </w:p>
    <w:p w:rsidR="007F4D53" w:rsidRPr="003A243E" w:rsidRDefault="0080509C" w:rsidP="00FE7D71">
      <w:pPr>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美国</w:t>
      </w:r>
      <w:r w:rsidR="007F4D53" w:rsidRPr="003A243E">
        <w:rPr>
          <w:rFonts w:ascii="Times New Roman" w:eastAsia="宋体" w:hAnsi="Times New Roman" w:cs="Times New Roman"/>
        </w:rPr>
        <w:t>宾夕法尼亚大学</w:t>
      </w:r>
      <w:r w:rsidRPr="003A243E">
        <w:rPr>
          <w:rFonts w:ascii="Times New Roman" w:eastAsia="宋体" w:hAnsi="Times New Roman" w:cs="Times New Roman"/>
        </w:rPr>
        <w:t>沃顿商学院</w:t>
      </w:r>
      <w:r w:rsidR="00F0184D">
        <w:rPr>
          <w:rFonts w:ascii="Times New Roman" w:eastAsia="宋体" w:hAnsi="Times New Roman" w:cs="Times New Roman" w:hint="eastAsia"/>
        </w:rPr>
        <w:t>；</w:t>
      </w:r>
      <w:r>
        <w:rPr>
          <w:rFonts w:ascii="Times New Roman" w:eastAsia="宋体" w:hAnsi="Times New Roman" w:cs="Times New Roman" w:hint="eastAsia"/>
        </w:rPr>
        <w:t>美国经济研究局（</w:t>
      </w:r>
      <w:r>
        <w:rPr>
          <w:rFonts w:ascii="Times New Roman" w:eastAsia="宋体" w:hAnsi="Times New Roman" w:cs="Times New Roman" w:hint="eastAsia"/>
        </w:rPr>
        <w:t>NBER</w:t>
      </w:r>
      <w:r>
        <w:rPr>
          <w:rFonts w:ascii="Times New Roman" w:eastAsia="宋体" w:hAnsi="Times New Roman" w:cs="Times New Roman" w:hint="eastAsia"/>
        </w:rPr>
        <w:t>）</w:t>
      </w:r>
    </w:p>
    <w:p w:rsidR="00304A76" w:rsidRDefault="006D6425" w:rsidP="00FE7D71">
      <w:pPr>
        <w:spacing w:beforeLines="50" w:before="156" w:afterLines="50" w:after="156"/>
        <w:jc w:val="center"/>
        <w:rPr>
          <w:rFonts w:ascii="Times New Roman" w:hAnsi="Times New Roman" w:cs="Times New Roman"/>
        </w:rPr>
      </w:pPr>
      <w:hyperlink r:id="rId9" w:history="1">
        <w:r w:rsidR="00695189" w:rsidRPr="00FC0384">
          <w:rPr>
            <w:rStyle w:val="a8"/>
            <w:rFonts w:ascii="Times New Roman" w:hAnsi="Times New Roman" w:cs="Times New Roman"/>
          </w:rPr>
          <w:t>gyourko@wharton.upenn.edu</w:t>
        </w:r>
      </w:hyperlink>
    </w:p>
    <w:p w:rsidR="00462268" w:rsidRPr="003A243E" w:rsidRDefault="00462268" w:rsidP="00FE7D71">
      <w:pPr>
        <w:spacing w:beforeLines="50" w:before="156" w:afterLines="50" w:after="156"/>
        <w:jc w:val="center"/>
        <w:rPr>
          <w:rFonts w:ascii="Times New Roman" w:hAnsi="Times New Roman" w:cs="Times New Roman"/>
        </w:rPr>
      </w:pPr>
    </w:p>
    <w:p w:rsidR="00304A76" w:rsidRPr="00924C61" w:rsidRDefault="00304A76" w:rsidP="00FE7D71">
      <w:pPr>
        <w:spacing w:beforeLines="50" w:before="156" w:afterLines="50" w:after="156"/>
        <w:jc w:val="center"/>
        <w:rPr>
          <w:rFonts w:ascii="Times New Roman" w:eastAsia="宋体" w:hAnsi="Times New Roman" w:cs="Times New Roman"/>
          <w:sz w:val="24"/>
        </w:rPr>
      </w:pPr>
      <w:r w:rsidRPr="00924C61">
        <w:rPr>
          <w:rFonts w:ascii="Times New Roman" w:eastAsia="宋体" w:hAnsi="Times New Roman" w:cs="Times New Roman"/>
          <w:sz w:val="24"/>
        </w:rPr>
        <w:t>吴璟</w:t>
      </w:r>
    </w:p>
    <w:p w:rsidR="00304A76" w:rsidRPr="003A243E" w:rsidRDefault="0080509C" w:rsidP="00FE7D71">
      <w:pPr>
        <w:spacing w:beforeLines="50" w:before="156" w:afterLines="50" w:after="156"/>
        <w:jc w:val="center"/>
        <w:rPr>
          <w:rFonts w:ascii="Times New Roman" w:eastAsia="宋体" w:hAnsi="Times New Roman" w:cs="Times New Roman"/>
        </w:rPr>
      </w:pPr>
      <w:r>
        <w:rPr>
          <w:rFonts w:ascii="Times New Roman" w:eastAsia="宋体" w:hAnsi="Times New Roman" w:cs="Times New Roman" w:hint="eastAsia"/>
        </w:rPr>
        <w:t>清华大学</w:t>
      </w:r>
      <w:r w:rsidR="00F0184D">
        <w:rPr>
          <w:rFonts w:ascii="Times New Roman" w:eastAsia="宋体" w:hAnsi="Times New Roman" w:cs="Times New Roman" w:hint="eastAsia"/>
        </w:rPr>
        <w:t>恒隆房地产研究中心</w:t>
      </w:r>
      <w:r w:rsidR="00695189">
        <w:rPr>
          <w:rFonts w:ascii="Times New Roman" w:eastAsia="宋体" w:hAnsi="Times New Roman" w:cs="Times New Roman" w:hint="eastAsia"/>
        </w:rPr>
        <w:t>；</w:t>
      </w:r>
      <w:r w:rsidR="002B7BC8">
        <w:rPr>
          <w:rFonts w:ascii="Times New Roman" w:eastAsia="宋体" w:hAnsi="Times New Roman" w:cs="Times New Roman" w:hint="eastAsia"/>
        </w:rPr>
        <w:t>清华大学房地产研究所；</w:t>
      </w:r>
      <w:r w:rsidR="00695189" w:rsidRPr="003A243E">
        <w:rPr>
          <w:rFonts w:ascii="Times New Roman" w:eastAsia="宋体" w:hAnsi="Times New Roman" w:cs="Times New Roman"/>
        </w:rPr>
        <w:t>清华大学建设管理系</w:t>
      </w:r>
    </w:p>
    <w:p w:rsidR="00304A76" w:rsidRPr="003A243E" w:rsidRDefault="006D6425" w:rsidP="00FE7D71">
      <w:pPr>
        <w:spacing w:beforeLines="50" w:before="156" w:afterLines="50" w:after="156"/>
        <w:jc w:val="center"/>
        <w:rPr>
          <w:rFonts w:ascii="Times New Roman" w:eastAsia="宋体" w:hAnsi="Times New Roman" w:cs="Times New Roman"/>
        </w:rPr>
      </w:pPr>
      <w:hyperlink r:id="rId10" w:history="1">
        <w:r w:rsidR="00304A76" w:rsidRPr="003A243E">
          <w:rPr>
            <w:rStyle w:val="a8"/>
            <w:rFonts w:ascii="Times New Roman" w:eastAsia="宋体" w:hAnsi="Times New Roman" w:cs="Times New Roman"/>
          </w:rPr>
          <w:t>ireswujing@tsinghua.edu.cn</w:t>
        </w:r>
      </w:hyperlink>
    </w:p>
    <w:p w:rsidR="006537B5" w:rsidRDefault="006537B5" w:rsidP="00FE7D71">
      <w:pPr>
        <w:spacing w:beforeLines="50" w:before="156" w:afterLines="50" w:after="156" w:line="360" w:lineRule="auto"/>
        <w:ind w:firstLineChars="171" w:firstLine="359"/>
        <w:rPr>
          <w:rFonts w:ascii="Times New Roman" w:cs="Times New Roman"/>
        </w:rPr>
      </w:pPr>
    </w:p>
    <w:p w:rsidR="0080509C" w:rsidRDefault="00867D27" w:rsidP="00FE7D71">
      <w:pPr>
        <w:spacing w:beforeLines="50" w:before="156" w:afterLines="50" w:after="156" w:line="360" w:lineRule="auto"/>
        <w:rPr>
          <w:rFonts w:ascii="Times New Roman" w:cs="Times New Roman"/>
        </w:rPr>
      </w:pPr>
      <w:r w:rsidRPr="00867D27">
        <w:rPr>
          <w:rFonts w:ascii="Times New Roman" w:cs="Times New Roman" w:hint="eastAsia"/>
        </w:rPr>
        <w:t>*</w:t>
      </w:r>
      <w:r w:rsidR="003E21D4">
        <w:rPr>
          <w:rFonts w:ascii="Times New Roman" w:cs="Times New Roman"/>
        </w:rPr>
        <w:t xml:space="preserve"> </w:t>
      </w:r>
      <w:r w:rsidR="0080509C">
        <w:rPr>
          <w:rFonts w:ascii="Times New Roman" w:cs="Times New Roman" w:hint="eastAsia"/>
        </w:rPr>
        <w:t>中文版技术白皮书为</w:t>
      </w:r>
      <w:r w:rsidR="006537B5">
        <w:rPr>
          <w:rFonts w:ascii="Times New Roman" w:cs="Times New Roman" w:hint="eastAsia"/>
        </w:rPr>
        <w:t>来源于对</w:t>
      </w:r>
      <w:r w:rsidR="0080509C">
        <w:rPr>
          <w:rFonts w:ascii="Times New Roman" w:cs="Times New Roman" w:hint="eastAsia"/>
        </w:rPr>
        <w:t>英文版白皮书的翻译，</w:t>
      </w:r>
      <w:r w:rsidR="006537B5">
        <w:rPr>
          <w:rFonts w:ascii="Times New Roman" w:cs="Times New Roman" w:hint="eastAsia"/>
        </w:rPr>
        <w:t>二者</w:t>
      </w:r>
      <w:r w:rsidR="0080509C">
        <w:rPr>
          <w:rFonts w:ascii="Times New Roman" w:cs="Times New Roman" w:hint="eastAsia"/>
        </w:rPr>
        <w:t>如有不一致之处</w:t>
      </w:r>
      <w:r w:rsidR="006537B5">
        <w:rPr>
          <w:rFonts w:ascii="Times New Roman" w:cs="Times New Roman" w:hint="eastAsia"/>
        </w:rPr>
        <w:t>请</w:t>
      </w:r>
      <w:r w:rsidR="0080509C">
        <w:rPr>
          <w:rFonts w:ascii="Times New Roman" w:cs="Times New Roman" w:hint="eastAsia"/>
        </w:rPr>
        <w:t>以英文版为准。</w:t>
      </w:r>
    </w:p>
    <w:p w:rsidR="005B3116" w:rsidRDefault="00867D27" w:rsidP="00FE7D71">
      <w:pPr>
        <w:spacing w:beforeLines="50" w:before="156" w:afterLines="50" w:after="156" w:line="360" w:lineRule="auto"/>
        <w:rPr>
          <w:rFonts w:ascii="Times New Roman" w:cs="Times New Roman"/>
        </w:rPr>
      </w:pPr>
      <w:r>
        <w:rPr>
          <w:rFonts w:ascii="Times New Roman" w:cs="Times New Roman" w:hint="eastAsia"/>
        </w:rPr>
        <w:t>#</w:t>
      </w:r>
      <w:r w:rsidR="003E21D4">
        <w:rPr>
          <w:rFonts w:ascii="Times New Roman" w:cs="Times New Roman"/>
        </w:rPr>
        <w:t xml:space="preserve"> </w:t>
      </w:r>
      <w:r w:rsidR="007F4D53" w:rsidRPr="003A243E">
        <w:rPr>
          <w:rFonts w:ascii="Times New Roman" w:cs="Times New Roman"/>
        </w:rPr>
        <w:t>感谢清华大学</w:t>
      </w:r>
      <w:r w:rsidR="00924C61">
        <w:rPr>
          <w:rFonts w:ascii="Times New Roman" w:cs="Times New Roman" w:hint="eastAsia"/>
        </w:rPr>
        <w:t>恒隆房地产研究中心</w:t>
      </w:r>
      <w:r w:rsidR="007F4D53" w:rsidRPr="003A243E">
        <w:rPr>
          <w:rFonts w:ascii="Times New Roman" w:cs="Times New Roman"/>
        </w:rPr>
        <w:t>刘洪玉教授和郑思齐</w:t>
      </w:r>
      <w:r w:rsidR="0080509C">
        <w:rPr>
          <w:rFonts w:ascii="Times New Roman" w:cs="Times New Roman" w:hint="eastAsia"/>
        </w:rPr>
        <w:t>教授在研究全过程中提出的宝贵建议</w:t>
      </w:r>
      <w:r w:rsidR="007F4D53" w:rsidRPr="003A243E">
        <w:rPr>
          <w:rFonts w:ascii="Times New Roman" w:cs="Times New Roman"/>
        </w:rPr>
        <w:t>。来自清华大学的张博、</w:t>
      </w:r>
      <w:r w:rsidR="00740DFB" w:rsidRPr="003A243E">
        <w:rPr>
          <w:rFonts w:ascii="Times New Roman" w:cs="Times New Roman"/>
        </w:rPr>
        <w:t>王璞、郭尉、</w:t>
      </w:r>
      <w:r w:rsidR="007F4D53" w:rsidRPr="003A243E">
        <w:rPr>
          <w:rFonts w:ascii="Times New Roman" w:cs="Times New Roman"/>
        </w:rPr>
        <w:t>黎明月、</w:t>
      </w:r>
      <w:r w:rsidR="0080509C">
        <w:rPr>
          <w:rFonts w:ascii="Times New Roman" w:cs="Times New Roman" w:hint="eastAsia"/>
        </w:rPr>
        <w:t>胡宝仪、</w:t>
      </w:r>
      <w:r w:rsidR="007F4D53" w:rsidRPr="003A243E">
        <w:rPr>
          <w:rFonts w:ascii="Times New Roman" w:cs="Times New Roman"/>
        </w:rPr>
        <w:t>黄敬婷和</w:t>
      </w:r>
      <w:r w:rsidR="00740DFB">
        <w:rPr>
          <w:rFonts w:ascii="Times New Roman" w:cs="Times New Roman" w:hint="eastAsia"/>
        </w:rPr>
        <w:t>赵辰茜</w:t>
      </w:r>
      <w:r w:rsidR="007F4D53" w:rsidRPr="003A243E">
        <w:rPr>
          <w:rFonts w:ascii="Times New Roman" w:cs="Times New Roman"/>
        </w:rPr>
        <w:t>，来自沃顿商学院的</w:t>
      </w:r>
      <w:r w:rsidR="007F4D53" w:rsidRPr="005B3116">
        <w:rPr>
          <w:rFonts w:ascii="Times New Roman" w:cs="Times New Roman"/>
        </w:rPr>
        <w:t>Ying Chen</w:t>
      </w:r>
      <w:r w:rsidR="00924C61">
        <w:rPr>
          <w:rFonts w:ascii="Times New Roman" w:cs="Times New Roman" w:hint="eastAsia"/>
        </w:rPr>
        <w:t>，</w:t>
      </w:r>
      <w:r w:rsidR="007F4D53" w:rsidRPr="005B3116">
        <w:rPr>
          <w:rFonts w:ascii="Times New Roman" w:cs="Times New Roman"/>
        </w:rPr>
        <w:t>Hui Liu</w:t>
      </w:r>
      <w:r w:rsidR="0080509C">
        <w:rPr>
          <w:rFonts w:ascii="Times New Roman" w:cs="Times New Roman" w:hint="eastAsia"/>
        </w:rPr>
        <w:t>和</w:t>
      </w:r>
      <w:r w:rsidR="007F4D53" w:rsidRPr="005B3116">
        <w:rPr>
          <w:rFonts w:ascii="Times New Roman" w:cs="Times New Roman"/>
        </w:rPr>
        <w:t>Chen Zheng</w:t>
      </w:r>
      <w:r w:rsidR="007F4D53" w:rsidRPr="005B3116">
        <w:rPr>
          <w:rFonts w:ascii="Times New Roman" w:cs="Times New Roman"/>
        </w:rPr>
        <w:t>，来自新加坡国立大学的</w:t>
      </w:r>
      <w:r w:rsidR="007F4D53" w:rsidRPr="005B3116">
        <w:rPr>
          <w:rFonts w:ascii="Times New Roman" w:cs="Times New Roman"/>
        </w:rPr>
        <w:t>Jia He</w:t>
      </w:r>
      <w:r w:rsidR="0080509C">
        <w:rPr>
          <w:rFonts w:ascii="Times New Roman" w:cs="Times New Roman" w:hint="eastAsia"/>
        </w:rPr>
        <w:t>和</w:t>
      </w:r>
      <w:r w:rsidR="007F4D53" w:rsidRPr="005B3116">
        <w:rPr>
          <w:rFonts w:ascii="Times New Roman" w:cs="Times New Roman"/>
        </w:rPr>
        <w:t>Mingying Xu</w:t>
      </w:r>
      <w:r w:rsidR="0080509C">
        <w:rPr>
          <w:rFonts w:ascii="Times New Roman" w:cs="Times New Roman" w:hint="eastAsia"/>
        </w:rPr>
        <w:t>等</w:t>
      </w:r>
      <w:r w:rsidR="007F4D53" w:rsidRPr="005B3116">
        <w:rPr>
          <w:rFonts w:ascii="Times New Roman" w:cs="Times New Roman"/>
        </w:rPr>
        <w:t>为本项研究</w:t>
      </w:r>
      <w:r w:rsidR="0080509C">
        <w:rPr>
          <w:rFonts w:ascii="Times New Roman" w:cs="Times New Roman" w:hint="eastAsia"/>
        </w:rPr>
        <w:t>提供了出色的研究助理工作</w:t>
      </w:r>
      <w:r w:rsidR="007F4D53" w:rsidRPr="005B3116">
        <w:rPr>
          <w:rFonts w:ascii="Times New Roman" w:cs="Times New Roman"/>
        </w:rPr>
        <w:t>。</w:t>
      </w:r>
      <w:r w:rsidR="00924C61">
        <w:rPr>
          <w:rFonts w:ascii="Times New Roman" w:cs="Times New Roman" w:hint="eastAsia"/>
        </w:rPr>
        <w:t>但</w:t>
      </w:r>
      <w:r w:rsidR="00924C61">
        <w:rPr>
          <w:rFonts w:ascii="Times New Roman" w:cs="Times New Roman"/>
        </w:rPr>
        <w:t>我们对本指数的任何技术和质量问题负责</w:t>
      </w:r>
      <w:r w:rsidR="00924C61">
        <w:rPr>
          <w:rFonts w:ascii="Times New Roman" w:cs="Times New Roman" w:hint="eastAsia"/>
        </w:rPr>
        <w:t>。</w:t>
      </w:r>
      <w:r w:rsidR="007F4D53" w:rsidRPr="005B3116">
        <w:rPr>
          <w:rFonts w:ascii="Times New Roman" w:cs="Times New Roman"/>
        </w:rPr>
        <w:t>Gyourko</w:t>
      </w:r>
      <w:r w:rsidR="0080509C">
        <w:rPr>
          <w:rFonts w:ascii="Times New Roman" w:cs="Times New Roman"/>
        </w:rPr>
        <w:t>感谢来自宾夕法尼亚大学</w:t>
      </w:r>
      <w:r w:rsidR="007F4D53" w:rsidRPr="005B3116">
        <w:rPr>
          <w:rFonts w:ascii="Times New Roman" w:cs="Times New Roman"/>
        </w:rPr>
        <w:t>沃顿商学院全球研究计划项目给予的资金</w:t>
      </w:r>
      <w:r w:rsidR="0080509C">
        <w:rPr>
          <w:rFonts w:ascii="Times New Roman" w:cs="Times New Roman"/>
        </w:rPr>
        <w:t>支持，邓永恒感谢新加坡国立大学房地产研究所给予的资金支持</w:t>
      </w:r>
      <w:r w:rsidR="0080509C">
        <w:rPr>
          <w:rFonts w:ascii="Times New Roman" w:cs="Times New Roman" w:hint="eastAsia"/>
        </w:rPr>
        <w:t>，</w:t>
      </w:r>
      <w:r w:rsidR="0080509C">
        <w:rPr>
          <w:rFonts w:ascii="Times New Roman" w:cs="Times New Roman"/>
        </w:rPr>
        <w:t>吴璟</w:t>
      </w:r>
      <w:r w:rsidR="007F4D53" w:rsidRPr="003A243E">
        <w:rPr>
          <w:rFonts w:ascii="Times New Roman" w:cs="Times New Roman"/>
        </w:rPr>
        <w:t>感谢</w:t>
      </w:r>
      <w:r w:rsidR="0015196E">
        <w:rPr>
          <w:rFonts w:ascii="Times New Roman" w:cs="Times New Roman"/>
        </w:rPr>
        <w:t>清华大学恒隆房地产研究中心和</w:t>
      </w:r>
      <w:r w:rsidR="007F4D53" w:rsidRPr="003A243E">
        <w:rPr>
          <w:rFonts w:ascii="Times New Roman" w:cs="Times New Roman"/>
        </w:rPr>
        <w:t>中国国家自然科学基金的支持（</w:t>
      </w:r>
      <w:r w:rsidR="007F4D53" w:rsidRPr="005B3116">
        <w:rPr>
          <w:rFonts w:ascii="Times New Roman" w:cs="Times New Roman"/>
        </w:rPr>
        <w:t>712003060</w:t>
      </w:r>
      <w:r w:rsidR="006537B5">
        <w:rPr>
          <w:rFonts w:ascii="Times New Roman" w:cs="Times New Roman" w:hint="eastAsia"/>
        </w:rPr>
        <w:t>、</w:t>
      </w:r>
      <w:r w:rsidR="007F4D53" w:rsidRPr="005B3116">
        <w:rPr>
          <w:rFonts w:ascii="Times New Roman" w:cs="Times New Roman"/>
        </w:rPr>
        <w:t>71373006</w:t>
      </w:r>
      <w:r w:rsidR="007F4D53" w:rsidRPr="003A243E">
        <w:rPr>
          <w:rFonts w:ascii="Times New Roman" w:cs="Times New Roman"/>
        </w:rPr>
        <w:t>）。</w:t>
      </w:r>
      <w:r w:rsidR="005B3116">
        <w:rPr>
          <w:rFonts w:ascii="Times New Roman" w:cs="Times New Roman"/>
        </w:rPr>
        <w:br w:type="page"/>
      </w:r>
    </w:p>
    <w:p w:rsidR="000C5507" w:rsidRPr="003A243E" w:rsidRDefault="0069628A" w:rsidP="00FE7D71">
      <w:pPr>
        <w:pStyle w:val="a3"/>
        <w:numPr>
          <w:ilvl w:val="0"/>
          <w:numId w:val="2"/>
        </w:numPr>
        <w:spacing w:beforeLines="50" w:before="156" w:afterLines="50" w:after="156" w:line="360" w:lineRule="auto"/>
        <w:ind w:firstLineChars="0"/>
        <w:rPr>
          <w:rFonts w:ascii="Times New Roman" w:hAnsi="Times New Roman" w:cs="Times New Roman"/>
          <w:b/>
          <w:sz w:val="24"/>
        </w:rPr>
      </w:pPr>
      <w:r w:rsidRPr="003A243E">
        <w:rPr>
          <w:rFonts w:ascii="Times New Roman" w:cs="Times New Roman"/>
          <w:b/>
          <w:sz w:val="24"/>
        </w:rPr>
        <w:lastRenderedPageBreak/>
        <w:t>引言</w:t>
      </w:r>
    </w:p>
    <w:p w:rsidR="0069628A" w:rsidRPr="003A243E" w:rsidRDefault="0006692F" w:rsidP="00FE7D71">
      <w:pPr>
        <w:spacing w:beforeLines="50" w:before="156" w:afterLines="50" w:after="156" w:line="360" w:lineRule="auto"/>
        <w:ind w:firstLineChars="200" w:firstLine="420"/>
        <w:rPr>
          <w:rFonts w:ascii="Times New Roman" w:hAnsi="Times New Roman" w:cs="Times New Roman"/>
        </w:rPr>
      </w:pPr>
      <w:r>
        <w:rPr>
          <w:rFonts w:ascii="Times New Roman" w:cs="Times New Roman" w:hint="eastAsia"/>
        </w:rPr>
        <w:t>“</w:t>
      </w:r>
      <w:r w:rsidR="0069628A" w:rsidRPr="003A243E">
        <w:rPr>
          <w:rFonts w:ascii="Times New Roman" w:cs="Times New Roman"/>
        </w:rPr>
        <w:t>中国居住</w:t>
      </w:r>
      <w:r w:rsidR="006E1DBC" w:rsidRPr="003A243E">
        <w:rPr>
          <w:rFonts w:ascii="Times New Roman" w:cs="Times New Roman"/>
        </w:rPr>
        <w:t>用地</w:t>
      </w:r>
      <w:r w:rsidR="0069628A" w:rsidRPr="003A243E">
        <w:rPr>
          <w:rFonts w:ascii="Times New Roman" w:cs="Times New Roman"/>
        </w:rPr>
        <w:t>价格指数</w:t>
      </w:r>
      <w:r>
        <w:rPr>
          <w:rFonts w:ascii="Times New Roman" w:hAnsi="Times New Roman" w:cs="Times New Roman" w:hint="eastAsia"/>
        </w:rPr>
        <w:t>（</w:t>
      </w:r>
      <w:r w:rsidR="00327916" w:rsidRPr="00327916">
        <w:rPr>
          <w:rFonts w:ascii="Times New Roman" w:hAnsi="Times New Roman" w:cs="Times New Roman"/>
        </w:rPr>
        <w:t>Chinese Residential Land Price Index</w:t>
      </w:r>
      <w:r w:rsidR="00327916">
        <w:rPr>
          <w:rFonts w:ascii="Times New Roman" w:hAnsi="Times New Roman" w:cs="Times New Roman" w:hint="eastAsia"/>
        </w:rPr>
        <w:t>；简称</w:t>
      </w:r>
      <w:r>
        <w:rPr>
          <w:rFonts w:ascii="Times New Roman" w:hAnsi="Times New Roman" w:cs="Times New Roman"/>
        </w:rPr>
        <w:t>CRLPI</w:t>
      </w:r>
      <w:r>
        <w:rPr>
          <w:rFonts w:ascii="Times New Roman" w:hAnsi="Times New Roman" w:cs="Times New Roman" w:hint="eastAsia"/>
        </w:rPr>
        <w:t>）”</w:t>
      </w:r>
      <w:r w:rsidR="0069628A" w:rsidRPr="003A243E">
        <w:rPr>
          <w:rFonts w:ascii="Times New Roman" w:cs="Times New Roman"/>
        </w:rPr>
        <w:t>由美国</w:t>
      </w:r>
      <w:r>
        <w:rPr>
          <w:rFonts w:ascii="Times New Roman" w:cs="Times New Roman" w:hint="eastAsia"/>
        </w:rPr>
        <w:t>宾夕法尼亚大学</w:t>
      </w:r>
      <w:r w:rsidR="0069628A" w:rsidRPr="003A243E">
        <w:rPr>
          <w:rFonts w:ascii="Times New Roman" w:cs="Times New Roman"/>
        </w:rPr>
        <w:t>沃顿商学院、新加坡国立大学</w:t>
      </w:r>
      <w:r w:rsidR="00327916">
        <w:rPr>
          <w:rFonts w:ascii="Times New Roman" w:cs="Times New Roman" w:hint="eastAsia"/>
        </w:rPr>
        <w:t>房地产研究院</w:t>
      </w:r>
      <w:r w:rsidR="0069628A" w:rsidRPr="003A243E">
        <w:rPr>
          <w:rFonts w:ascii="Times New Roman" w:cs="Times New Roman"/>
        </w:rPr>
        <w:t>、清华大学</w:t>
      </w:r>
      <w:r>
        <w:rPr>
          <w:rFonts w:ascii="Times New Roman" w:cs="Times New Roman" w:hint="eastAsia"/>
        </w:rPr>
        <w:t>恒隆房地产研究中心</w:t>
      </w:r>
      <w:r w:rsidR="0069628A" w:rsidRPr="003A243E">
        <w:rPr>
          <w:rFonts w:ascii="Times New Roman" w:cs="Times New Roman"/>
        </w:rPr>
        <w:t>联合</w:t>
      </w:r>
      <w:r w:rsidR="00327916">
        <w:rPr>
          <w:rFonts w:ascii="Times New Roman" w:cs="Times New Roman" w:hint="eastAsia"/>
        </w:rPr>
        <w:t>编制</w:t>
      </w:r>
      <w:r w:rsidR="0069628A" w:rsidRPr="003A243E">
        <w:rPr>
          <w:rFonts w:ascii="Times New Roman" w:cs="Times New Roman"/>
        </w:rPr>
        <w:t>发布</w:t>
      </w:r>
      <w:r w:rsidR="00327916">
        <w:rPr>
          <w:rFonts w:ascii="Times New Roman" w:cs="Times New Roman" w:hint="eastAsia"/>
        </w:rPr>
        <w:t>，旨在</w:t>
      </w:r>
      <w:r w:rsidR="006E1DBC" w:rsidRPr="003A243E">
        <w:rPr>
          <w:rFonts w:ascii="Times New Roman" w:cs="Times New Roman"/>
        </w:rPr>
        <w:t>针</w:t>
      </w:r>
      <w:r w:rsidR="0069628A" w:rsidRPr="003A243E">
        <w:rPr>
          <w:rFonts w:ascii="Times New Roman" w:cs="Times New Roman"/>
        </w:rPr>
        <w:t>对中国</w:t>
      </w:r>
      <w:r w:rsidR="0069628A" w:rsidRPr="003A243E">
        <w:rPr>
          <w:rFonts w:ascii="Times New Roman" w:hAnsi="Times New Roman" w:cs="Times New Roman"/>
        </w:rPr>
        <w:t>35</w:t>
      </w:r>
      <w:r w:rsidR="0069628A" w:rsidRPr="003A243E">
        <w:rPr>
          <w:rFonts w:ascii="Times New Roman" w:cs="Times New Roman"/>
        </w:rPr>
        <w:t>个大中城市（图</w:t>
      </w:r>
      <w:r w:rsidR="00462268">
        <w:rPr>
          <w:rFonts w:ascii="Times New Roman" w:cs="Times New Roman" w:hint="eastAsia"/>
        </w:rPr>
        <w:t>1</w:t>
      </w:r>
      <w:r w:rsidR="0069628A" w:rsidRPr="003A243E">
        <w:rPr>
          <w:rFonts w:ascii="Times New Roman" w:cs="Times New Roman"/>
        </w:rPr>
        <w:t>）通过</w:t>
      </w:r>
      <w:r w:rsidR="006E1DBC" w:rsidRPr="003A243E">
        <w:rPr>
          <w:rFonts w:ascii="Times New Roman" w:cs="Times New Roman"/>
        </w:rPr>
        <w:t>招标、拍卖和挂牌</w:t>
      </w:r>
      <w:r>
        <w:rPr>
          <w:rFonts w:ascii="Times New Roman" w:cs="Times New Roman" w:hint="eastAsia"/>
        </w:rPr>
        <w:t>（</w:t>
      </w:r>
      <w:r w:rsidR="0051520F">
        <w:rPr>
          <w:rFonts w:ascii="Times New Roman" w:cs="Times New Roman" w:hint="eastAsia"/>
        </w:rPr>
        <w:t>以下简称</w:t>
      </w:r>
      <w:r>
        <w:rPr>
          <w:rFonts w:ascii="Times New Roman" w:cs="Times New Roman" w:hint="eastAsia"/>
        </w:rPr>
        <w:t>“招拍挂”）</w:t>
      </w:r>
      <w:r w:rsidR="0069628A" w:rsidRPr="003A243E">
        <w:rPr>
          <w:rFonts w:ascii="Times New Roman" w:cs="Times New Roman"/>
        </w:rPr>
        <w:t>形式</w:t>
      </w:r>
      <w:r w:rsidR="00883BD7" w:rsidRPr="003A243E">
        <w:rPr>
          <w:rFonts w:ascii="Times New Roman" w:cs="Times New Roman"/>
        </w:rPr>
        <w:t>出让的居住用地</w:t>
      </w:r>
      <w:r w:rsidR="00327916">
        <w:rPr>
          <w:rFonts w:ascii="Times New Roman" w:cs="Times New Roman" w:hint="eastAsia"/>
        </w:rPr>
        <w:t>，以同质性指数形式对其</w:t>
      </w:r>
      <w:r w:rsidR="00B96978" w:rsidRPr="003A243E">
        <w:rPr>
          <w:rFonts w:ascii="Times New Roman" w:cs="Times New Roman"/>
        </w:rPr>
        <w:t>价</w:t>
      </w:r>
      <w:r w:rsidR="00446109" w:rsidRPr="003A243E">
        <w:rPr>
          <w:rFonts w:ascii="Times New Roman" w:cs="Times New Roman"/>
        </w:rPr>
        <w:t>格</w:t>
      </w:r>
      <w:r w:rsidR="00327916">
        <w:rPr>
          <w:rFonts w:ascii="Times New Roman" w:cs="Times New Roman" w:hint="eastAsia"/>
        </w:rPr>
        <w:t>变化情况</w:t>
      </w:r>
      <w:r w:rsidR="0069628A" w:rsidRPr="003A243E">
        <w:rPr>
          <w:rFonts w:ascii="Times New Roman" w:cs="Times New Roman"/>
        </w:rPr>
        <w:t>进行持续</w:t>
      </w:r>
      <w:r w:rsidR="00883BD7" w:rsidRPr="003A243E">
        <w:rPr>
          <w:rFonts w:ascii="Times New Roman" w:cs="Times New Roman"/>
        </w:rPr>
        <w:t>监测</w:t>
      </w:r>
      <w:r w:rsidR="0069628A" w:rsidRPr="003A243E">
        <w:rPr>
          <w:rFonts w:ascii="Times New Roman" w:cs="Times New Roman"/>
        </w:rPr>
        <w:t>。</w:t>
      </w:r>
      <w:r w:rsidR="0051520F">
        <w:rPr>
          <w:rFonts w:ascii="Times New Roman" w:cs="Times New Roman" w:hint="eastAsia"/>
        </w:rPr>
        <w:t>参考</w:t>
      </w:r>
      <w:r w:rsidR="001236D3" w:rsidRPr="003A243E">
        <w:rPr>
          <w:rFonts w:ascii="Times New Roman" w:cs="Times New Roman"/>
        </w:rPr>
        <w:t>新建</w:t>
      </w:r>
      <w:r w:rsidR="00831F20" w:rsidRPr="003A243E">
        <w:rPr>
          <w:rFonts w:ascii="Times New Roman" w:cs="Times New Roman"/>
        </w:rPr>
        <w:t>商品</w:t>
      </w:r>
      <w:r>
        <w:rPr>
          <w:rFonts w:ascii="Times New Roman" w:cs="Times New Roman" w:hint="eastAsia"/>
        </w:rPr>
        <w:t>住</w:t>
      </w:r>
      <w:r w:rsidR="00831F20" w:rsidRPr="003A243E">
        <w:rPr>
          <w:rFonts w:ascii="Times New Roman" w:cs="Times New Roman"/>
        </w:rPr>
        <w:t>房市场</w:t>
      </w:r>
      <w:r w:rsidR="00BD6538">
        <w:rPr>
          <w:rFonts w:ascii="Times New Roman" w:cs="Times New Roman" w:hint="eastAsia"/>
        </w:rPr>
        <w:t>数据</w:t>
      </w:r>
      <w:r w:rsidR="001236D3" w:rsidRPr="003A243E">
        <w:rPr>
          <w:rFonts w:ascii="Times New Roman" w:cs="Times New Roman"/>
        </w:rPr>
        <w:t>，</w:t>
      </w:r>
      <w:r w:rsidR="001236D3" w:rsidRPr="003A243E">
        <w:rPr>
          <w:rFonts w:ascii="Times New Roman" w:hAnsi="Times New Roman" w:cs="Times New Roman"/>
        </w:rPr>
        <w:t>2004-</w:t>
      </w:r>
      <w:r w:rsidR="00740DFB" w:rsidRPr="003A243E">
        <w:rPr>
          <w:rFonts w:ascii="Times New Roman" w:hAnsi="Times New Roman" w:cs="Times New Roman"/>
        </w:rPr>
        <w:t>201</w:t>
      </w:r>
      <w:r w:rsidR="00740DFB">
        <w:rPr>
          <w:rFonts w:ascii="Times New Roman" w:hAnsi="Times New Roman" w:cs="Times New Roman"/>
        </w:rPr>
        <w:t>3</w:t>
      </w:r>
      <w:r w:rsidR="001236D3" w:rsidRPr="003A243E">
        <w:rPr>
          <w:rFonts w:ascii="Times New Roman" w:cs="Times New Roman"/>
        </w:rPr>
        <w:t>年</w:t>
      </w:r>
      <w:r>
        <w:rPr>
          <w:rFonts w:ascii="Times New Roman" w:cs="Times New Roman"/>
        </w:rPr>
        <w:t>间</w:t>
      </w:r>
      <w:r w:rsidR="00BD6538">
        <w:rPr>
          <w:rFonts w:ascii="Times New Roman" w:cs="Times New Roman"/>
        </w:rPr>
        <w:t>这</w:t>
      </w:r>
      <w:r w:rsidR="00BD6538">
        <w:rPr>
          <w:rFonts w:ascii="Times New Roman" w:cs="Times New Roman" w:hint="eastAsia"/>
        </w:rPr>
        <w:t>35</w:t>
      </w:r>
      <w:r w:rsidR="00BD6538">
        <w:rPr>
          <w:rFonts w:ascii="Times New Roman" w:cs="Times New Roman" w:hint="eastAsia"/>
        </w:rPr>
        <w:t>个大中</w:t>
      </w:r>
      <w:r w:rsidR="001236D3" w:rsidRPr="003A243E">
        <w:rPr>
          <w:rFonts w:ascii="Times New Roman" w:cs="Times New Roman"/>
        </w:rPr>
        <w:t>城市</w:t>
      </w:r>
      <w:r w:rsidR="003E21D4">
        <w:rPr>
          <w:rFonts w:ascii="Times New Roman" w:cs="Times New Roman" w:hint="eastAsia"/>
        </w:rPr>
        <w:t>在全国住房市场中所占比例在</w:t>
      </w:r>
      <w:r w:rsidR="00E252E6">
        <w:rPr>
          <w:rFonts w:ascii="Times New Roman" w:hAnsi="Times New Roman" w:cs="Times New Roman"/>
        </w:rPr>
        <w:t>5</w:t>
      </w:r>
      <w:r w:rsidR="001236D3" w:rsidRPr="003A243E">
        <w:rPr>
          <w:rFonts w:ascii="Times New Roman" w:hAnsi="Times New Roman" w:cs="Times New Roman"/>
        </w:rPr>
        <w:t>0%</w:t>
      </w:r>
      <w:r w:rsidR="00E252E6">
        <w:rPr>
          <w:rFonts w:ascii="Times New Roman" w:hAnsi="Times New Roman" w:cs="Times New Roman"/>
        </w:rPr>
        <w:t>至</w:t>
      </w:r>
      <w:r w:rsidR="00E252E6">
        <w:rPr>
          <w:rFonts w:ascii="Times New Roman" w:hAnsi="Times New Roman" w:cs="Times New Roman" w:hint="eastAsia"/>
        </w:rPr>
        <w:t>70%</w:t>
      </w:r>
      <w:r w:rsidR="00E252E6">
        <w:rPr>
          <w:rFonts w:ascii="Times New Roman" w:hAnsi="Times New Roman" w:cs="Times New Roman" w:hint="eastAsia"/>
        </w:rPr>
        <w:t>之间（</w:t>
      </w:r>
      <w:r w:rsidR="003E21D4">
        <w:rPr>
          <w:rFonts w:ascii="Times New Roman" w:hAnsi="Times New Roman" w:cs="Times New Roman" w:hint="eastAsia"/>
        </w:rPr>
        <w:t>按成交金额计算）之间</w:t>
      </w:r>
      <w:r w:rsidR="00B96978" w:rsidRPr="003A243E">
        <w:rPr>
          <w:rFonts w:ascii="Times New Roman" w:cs="Times New Roman"/>
        </w:rPr>
        <w:t>（图</w:t>
      </w:r>
      <w:r w:rsidR="00462268">
        <w:rPr>
          <w:rFonts w:ascii="Times New Roman" w:cs="Times New Roman" w:hint="eastAsia"/>
        </w:rPr>
        <w:t>2</w:t>
      </w:r>
      <w:r w:rsidR="00B96978" w:rsidRPr="003A243E">
        <w:rPr>
          <w:rFonts w:ascii="Times New Roman" w:cs="Times New Roman"/>
        </w:rPr>
        <w:t>）</w:t>
      </w:r>
      <w:r w:rsidR="00BD6538">
        <w:rPr>
          <w:rFonts w:ascii="Times New Roman" w:cs="Times New Roman" w:hint="eastAsia"/>
        </w:rPr>
        <w:t>，有条件较好的反映全国层面整体情况</w:t>
      </w:r>
      <w:r w:rsidR="001236D3" w:rsidRPr="003A243E">
        <w:rPr>
          <w:rFonts w:ascii="Times New Roman" w:cs="Times New Roman"/>
        </w:rPr>
        <w:t>。</w:t>
      </w:r>
    </w:p>
    <w:p w:rsidR="00B96978" w:rsidRPr="003A243E" w:rsidRDefault="00BD6538" w:rsidP="00FE7D71">
      <w:pPr>
        <w:spacing w:beforeLines="50" w:before="156" w:afterLines="50" w:after="156" w:line="360" w:lineRule="auto"/>
        <w:ind w:firstLineChars="200" w:firstLine="420"/>
        <w:rPr>
          <w:rFonts w:ascii="Times New Roman" w:hAnsi="Times New Roman" w:cs="Times New Roman"/>
        </w:rPr>
      </w:pPr>
      <w:r>
        <w:rPr>
          <w:rFonts w:ascii="Times New Roman" w:hAnsi="Times New Roman" w:cs="Times New Roman"/>
        </w:rPr>
        <w:t>CRLPI</w:t>
      </w:r>
      <w:r>
        <w:rPr>
          <w:rFonts w:ascii="Times New Roman" w:hAnsi="Times New Roman" w:cs="Times New Roman" w:hint="eastAsia"/>
        </w:rPr>
        <w:t>指数在全国（季度更新）、区域（半年度更新）和重点城市（年度更</w:t>
      </w:r>
      <w:bookmarkStart w:id="0" w:name="_GoBack"/>
      <w:bookmarkEnd w:id="0"/>
      <w:r>
        <w:rPr>
          <w:rFonts w:ascii="Times New Roman" w:hAnsi="Times New Roman" w:cs="Times New Roman" w:hint="eastAsia"/>
        </w:rPr>
        <w:t>新）三个地域维度上分别进行编制发布（稍后进行更详细介绍）</w:t>
      </w:r>
      <w:r w:rsidR="00446109" w:rsidRPr="003A243E">
        <w:rPr>
          <w:rFonts w:ascii="Times New Roman" w:cs="Times New Roman"/>
        </w:rPr>
        <w:t>。</w:t>
      </w:r>
      <w:r w:rsidR="00A72853" w:rsidRPr="003A243E">
        <w:rPr>
          <w:rFonts w:ascii="Times New Roman" w:cs="Times New Roman"/>
        </w:rPr>
        <w:t>本白皮书主要提供关于</w:t>
      </w:r>
      <w:r w:rsidR="00CB22E8" w:rsidRPr="003A243E">
        <w:rPr>
          <w:rFonts w:ascii="Times New Roman" w:cs="Times New Roman"/>
        </w:rPr>
        <w:t>基础数据</w:t>
      </w:r>
      <w:r w:rsidR="0006692F">
        <w:rPr>
          <w:rFonts w:ascii="Times New Roman" w:cs="Times New Roman" w:hint="eastAsia"/>
        </w:rPr>
        <w:t>和指数编制方法</w:t>
      </w:r>
      <w:r w:rsidR="00CB22E8" w:rsidRPr="003A243E">
        <w:rPr>
          <w:rFonts w:ascii="Times New Roman" w:cs="Times New Roman"/>
        </w:rPr>
        <w:t>的技术性</w:t>
      </w:r>
      <w:r w:rsidR="0006692F">
        <w:rPr>
          <w:rFonts w:ascii="Times New Roman" w:cs="Times New Roman" w:hint="eastAsia"/>
        </w:rPr>
        <w:t>说明</w:t>
      </w:r>
      <w:r w:rsidR="00CB22E8" w:rsidRPr="003A243E">
        <w:rPr>
          <w:rFonts w:ascii="Times New Roman" w:cs="Times New Roman"/>
        </w:rPr>
        <w:t>。</w:t>
      </w:r>
    </w:p>
    <w:p w:rsidR="00C13C90" w:rsidRPr="003A243E" w:rsidRDefault="00BD6538" w:rsidP="00FE7D71">
      <w:pPr>
        <w:spacing w:beforeLines="50" w:before="156" w:afterLines="50" w:after="156" w:line="360" w:lineRule="auto"/>
        <w:ind w:firstLineChars="200" w:firstLine="420"/>
        <w:rPr>
          <w:rFonts w:ascii="Times New Roman" w:hAnsi="Times New Roman" w:cs="Times New Roman"/>
        </w:rPr>
      </w:pPr>
      <w:r>
        <w:rPr>
          <w:rFonts w:ascii="Times New Roman" w:cs="Times New Roman" w:hint="eastAsia"/>
        </w:rPr>
        <w:t>目前</w:t>
      </w:r>
      <w:r>
        <w:rPr>
          <w:rFonts w:ascii="Times New Roman" w:hAnsi="Times New Roman" w:cs="Times New Roman"/>
        </w:rPr>
        <w:t>CRLPI</w:t>
      </w:r>
      <w:r>
        <w:rPr>
          <w:rFonts w:ascii="Times New Roman" w:hAnsi="Times New Roman" w:cs="Times New Roman" w:hint="eastAsia"/>
        </w:rPr>
        <w:t>指数供</w:t>
      </w:r>
      <w:r w:rsidR="0006692F">
        <w:rPr>
          <w:rFonts w:ascii="Times New Roman" w:cs="Times New Roman" w:hint="eastAsia"/>
        </w:rPr>
        <w:t>公开</w:t>
      </w:r>
      <w:r>
        <w:rPr>
          <w:rFonts w:ascii="Times New Roman" w:cs="Times New Roman" w:hint="eastAsia"/>
        </w:rPr>
        <w:t>、免费</w:t>
      </w:r>
      <w:r w:rsidR="0006692F">
        <w:rPr>
          <w:rFonts w:ascii="Times New Roman" w:cs="Times New Roman"/>
        </w:rPr>
        <w:t>下载</w:t>
      </w:r>
      <w:r w:rsidR="0006692F">
        <w:rPr>
          <w:rFonts w:ascii="Times New Roman" w:cs="Times New Roman" w:hint="eastAsia"/>
        </w:rPr>
        <w:t>。</w:t>
      </w:r>
      <w:r>
        <w:rPr>
          <w:rFonts w:ascii="Times New Roman" w:cs="Times New Roman" w:hint="eastAsia"/>
        </w:rPr>
        <w:t>但</w:t>
      </w:r>
      <w:r w:rsidR="00304A76" w:rsidRPr="003A243E">
        <w:rPr>
          <w:rFonts w:ascii="Times New Roman" w:cs="Times New Roman"/>
        </w:rPr>
        <w:t>在</w:t>
      </w:r>
      <w:r w:rsidR="00396709" w:rsidRPr="003A243E">
        <w:rPr>
          <w:rFonts w:ascii="Times New Roman" w:cs="Times New Roman"/>
        </w:rPr>
        <w:t>任何刊物或者公开场合</w:t>
      </w:r>
      <w:r w:rsidR="00304A76" w:rsidRPr="003A243E">
        <w:rPr>
          <w:rFonts w:ascii="Times New Roman" w:cs="Times New Roman"/>
        </w:rPr>
        <w:t>引用</w:t>
      </w:r>
      <w:r>
        <w:rPr>
          <w:rFonts w:ascii="Times New Roman" w:cs="Times New Roman" w:hint="eastAsia"/>
        </w:rPr>
        <w:t>时</w:t>
      </w:r>
      <w:r w:rsidR="00304A76" w:rsidRPr="003A243E">
        <w:rPr>
          <w:rFonts w:ascii="Times New Roman" w:cs="Times New Roman"/>
        </w:rPr>
        <w:t>，</w:t>
      </w:r>
      <w:r>
        <w:rPr>
          <w:rFonts w:ascii="Times New Roman" w:cs="Times New Roman" w:hint="eastAsia"/>
        </w:rPr>
        <w:t>需</w:t>
      </w:r>
      <w:r w:rsidR="00396709" w:rsidRPr="003A243E">
        <w:rPr>
          <w:rFonts w:ascii="Times New Roman" w:cs="Times New Roman"/>
        </w:rPr>
        <w:t>标记</w:t>
      </w:r>
      <w:r w:rsidR="0006692F">
        <w:rPr>
          <w:rFonts w:ascii="Times New Roman" w:cs="Times New Roman" w:hint="eastAsia"/>
        </w:rPr>
        <w:t>以下</w:t>
      </w:r>
      <w:r w:rsidR="00396709" w:rsidRPr="003A243E">
        <w:rPr>
          <w:rFonts w:ascii="Times New Roman" w:cs="Times New Roman"/>
        </w:rPr>
        <w:t>参考文献</w:t>
      </w:r>
      <w:r w:rsidR="00C13C90" w:rsidRPr="003A243E">
        <w:rPr>
          <w:rFonts w:ascii="Times New Roman" w:cs="Times New Roman"/>
        </w:rPr>
        <w:t>：</w:t>
      </w:r>
    </w:p>
    <w:p w:rsidR="00CB22E8" w:rsidRPr="003A243E" w:rsidRDefault="00C13C90" w:rsidP="00FE7D71">
      <w:pPr>
        <w:spacing w:beforeLines="50" w:before="156" w:afterLines="50" w:after="156" w:line="360" w:lineRule="auto"/>
        <w:rPr>
          <w:rFonts w:ascii="Times New Roman" w:hAnsi="Times New Roman" w:cs="Times New Roman"/>
        </w:rPr>
      </w:pPr>
      <w:r w:rsidRPr="003A243E">
        <w:rPr>
          <w:rFonts w:ascii="Times New Roman" w:hAnsi="Times New Roman" w:cs="Times New Roman"/>
        </w:rPr>
        <w:t xml:space="preserve">Wu, Jing, Joseph Gyourko and Yongheng Deng (2012). “Evaluating Conditions in Major Chinese Housing Markets,” </w:t>
      </w:r>
      <w:r w:rsidRPr="003A243E">
        <w:rPr>
          <w:rFonts w:ascii="Times New Roman" w:hAnsi="Times New Roman" w:cs="Times New Roman"/>
          <w:i/>
        </w:rPr>
        <w:t>Regional Science and Urban Economics</w:t>
      </w:r>
      <w:r w:rsidRPr="003A243E">
        <w:rPr>
          <w:rFonts w:ascii="Times New Roman" w:hAnsi="Times New Roman" w:cs="Times New Roman"/>
        </w:rPr>
        <w:t>, Vol. 42, No. 2: 531-543.</w:t>
      </w:r>
    </w:p>
    <w:p w:rsidR="00C13C90" w:rsidRPr="003A243E" w:rsidRDefault="000C0048" w:rsidP="00FE7D71">
      <w:pPr>
        <w:pStyle w:val="a3"/>
        <w:numPr>
          <w:ilvl w:val="0"/>
          <w:numId w:val="2"/>
        </w:numPr>
        <w:spacing w:beforeLines="100" w:before="312" w:afterLines="50" w:after="156" w:line="360" w:lineRule="auto"/>
        <w:ind w:left="482" w:hangingChars="200" w:hanging="482"/>
        <w:rPr>
          <w:rFonts w:ascii="Times New Roman" w:cs="Times New Roman"/>
          <w:b/>
          <w:sz w:val="24"/>
        </w:rPr>
      </w:pPr>
      <w:r>
        <w:rPr>
          <w:rFonts w:ascii="Times New Roman" w:cs="Times New Roman" w:hint="eastAsia"/>
          <w:b/>
          <w:sz w:val="24"/>
        </w:rPr>
        <w:t>指数的基本设定</w:t>
      </w:r>
    </w:p>
    <w:p w:rsidR="00F84948" w:rsidRPr="007E4D2C" w:rsidRDefault="00A72853" w:rsidP="00FE7D71">
      <w:pPr>
        <w:spacing w:beforeLines="50" w:before="156" w:afterLines="50" w:after="156" w:line="360" w:lineRule="auto"/>
        <w:ind w:firstLineChars="200" w:firstLine="420"/>
        <w:rPr>
          <w:rFonts w:ascii="Times New Roman" w:cs="Times New Roman"/>
        </w:rPr>
      </w:pPr>
      <w:r w:rsidRPr="003A243E">
        <w:rPr>
          <w:rFonts w:ascii="Times New Roman" w:cs="Times New Roman"/>
        </w:rPr>
        <w:t>中国</w:t>
      </w:r>
      <w:r w:rsidR="00652185">
        <w:rPr>
          <w:rFonts w:ascii="Times New Roman" w:cs="Times New Roman" w:hint="eastAsia"/>
        </w:rPr>
        <w:t>城市</w:t>
      </w:r>
      <w:r w:rsidRPr="003A243E">
        <w:rPr>
          <w:rFonts w:ascii="Times New Roman" w:cs="Times New Roman"/>
        </w:rPr>
        <w:t>土地</w:t>
      </w:r>
      <w:r w:rsidR="005D7AF2" w:rsidRPr="003A243E">
        <w:rPr>
          <w:rFonts w:ascii="Times New Roman" w:cs="Times New Roman"/>
        </w:rPr>
        <w:t>归</w:t>
      </w:r>
      <w:r w:rsidR="008849C3">
        <w:rPr>
          <w:rFonts w:ascii="Times New Roman" w:cs="Times New Roman" w:hint="eastAsia"/>
        </w:rPr>
        <w:t>国家</w:t>
      </w:r>
      <w:r w:rsidR="00396709" w:rsidRPr="003A243E">
        <w:rPr>
          <w:rFonts w:ascii="Times New Roman" w:cs="Times New Roman"/>
        </w:rPr>
        <w:t>所有</w:t>
      </w:r>
      <w:r w:rsidR="005D7AF2" w:rsidRPr="003A243E">
        <w:rPr>
          <w:rFonts w:ascii="Times New Roman" w:cs="Times New Roman"/>
        </w:rPr>
        <w:t>，</w:t>
      </w:r>
      <w:r w:rsidR="008849C3">
        <w:rPr>
          <w:rFonts w:ascii="Times New Roman" w:cs="Times New Roman" w:hint="eastAsia"/>
        </w:rPr>
        <w:t>但其在一定期限（例如居住用地为</w:t>
      </w:r>
      <w:r w:rsidR="008849C3">
        <w:rPr>
          <w:rFonts w:ascii="Times New Roman" w:cs="Times New Roman" w:hint="eastAsia"/>
        </w:rPr>
        <w:t>70</w:t>
      </w:r>
      <w:r w:rsidR="008849C3">
        <w:rPr>
          <w:rFonts w:ascii="Times New Roman" w:cs="Times New Roman" w:hint="eastAsia"/>
        </w:rPr>
        <w:t>年）内的使用权可以依照法律规定进行出让和转让。在一个典型的商品住房项目开发过程中，地方政府首先将居住用地使用权出让给房地产开发企业，</w:t>
      </w:r>
      <w:r w:rsidR="002B7EB0">
        <w:rPr>
          <w:rFonts w:ascii="Times New Roman" w:cs="Times New Roman"/>
        </w:rPr>
        <w:t>开发</w:t>
      </w:r>
      <w:r w:rsidR="002B7EB0">
        <w:rPr>
          <w:rFonts w:ascii="Times New Roman" w:cs="Times New Roman" w:hint="eastAsia"/>
        </w:rPr>
        <w:t>企业</w:t>
      </w:r>
      <w:r w:rsidR="00627F40" w:rsidRPr="003A243E">
        <w:rPr>
          <w:rFonts w:ascii="Times New Roman" w:cs="Times New Roman"/>
        </w:rPr>
        <w:t>随后在地块上建造</w:t>
      </w:r>
      <w:r w:rsidR="002B7EB0">
        <w:rPr>
          <w:rFonts w:ascii="Times New Roman" w:cs="Times New Roman" w:hint="eastAsia"/>
        </w:rPr>
        <w:t>商品住房</w:t>
      </w:r>
      <w:r w:rsidR="00627F40" w:rsidRPr="003A243E">
        <w:rPr>
          <w:rFonts w:ascii="Times New Roman" w:cs="Times New Roman"/>
        </w:rPr>
        <w:t>单元并将其出售给</w:t>
      </w:r>
      <w:r w:rsidR="00396709" w:rsidRPr="003A243E">
        <w:rPr>
          <w:rFonts w:ascii="Times New Roman" w:cs="Times New Roman"/>
        </w:rPr>
        <w:t>购房者</w:t>
      </w:r>
      <w:r w:rsidR="00627F40" w:rsidRPr="003A243E">
        <w:rPr>
          <w:rFonts w:ascii="Times New Roman" w:cs="Times New Roman"/>
        </w:rPr>
        <w:t>，</w:t>
      </w:r>
      <w:r w:rsidR="00396709" w:rsidRPr="003A243E">
        <w:rPr>
          <w:rFonts w:ascii="Times New Roman" w:cs="Times New Roman"/>
        </w:rPr>
        <w:t>购房者</w:t>
      </w:r>
      <w:r w:rsidR="00724508" w:rsidRPr="003A243E">
        <w:rPr>
          <w:rFonts w:ascii="Times New Roman" w:cs="Times New Roman"/>
        </w:rPr>
        <w:t>在余下的土地</w:t>
      </w:r>
      <w:r w:rsidR="00396709" w:rsidRPr="003A243E">
        <w:rPr>
          <w:rFonts w:ascii="Times New Roman" w:cs="Times New Roman"/>
        </w:rPr>
        <w:t>使用期内</w:t>
      </w:r>
      <w:r w:rsidR="002B7EB0">
        <w:rPr>
          <w:rFonts w:ascii="Times New Roman" w:cs="Times New Roman"/>
        </w:rPr>
        <w:t>享有</w:t>
      </w:r>
      <w:r w:rsidR="007E4D2C">
        <w:rPr>
          <w:rFonts w:ascii="Times New Roman" w:cs="Times New Roman" w:hint="eastAsia"/>
        </w:rPr>
        <w:t>使用</w:t>
      </w:r>
      <w:r w:rsidR="002B7EB0">
        <w:rPr>
          <w:rFonts w:ascii="Times New Roman" w:cs="Times New Roman"/>
        </w:rPr>
        <w:t>、出租、出售</w:t>
      </w:r>
      <w:r w:rsidR="002B7EB0">
        <w:rPr>
          <w:rFonts w:ascii="Times New Roman" w:cs="Times New Roman" w:hint="eastAsia"/>
        </w:rPr>
        <w:t>该住房单元</w:t>
      </w:r>
      <w:r w:rsidR="00724508" w:rsidRPr="003A243E">
        <w:rPr>
          <w:rFonts w:ascii="Times New Roman" w:cs="Times New Roman"/>
        </w:rPr>
        <w:t>的权利。</w:t>
      </w:r>
      <w:r w:rsidR="007E4D2C">
        <w:rPr>
          <w:rFonts w:ascii="Times New Roman" w:cs="Times New Roman" w:hint="eastAsia"/>
        </w:rPr>
        <w:t>因此，严格意义上所谓的“土地出让</w:t>
      </w:r>
      <w:r w:rsidR="00B67453">
        <w:rPr>
          <w:rFonts w:ascii="Times New Roman" w:cs="Times New Roman" w:hint="eastAsia"/>
        </w:rPr>
        <w:t>价款</w:t>
      </w:r>
      <w:r w:rsidR="007E4D2C">
        <w:rPr>
          <w:rFonts w:ascii="Times New Roman" w:cs="Times New Roman" w:hint="eastAsia"/>
        </w:rPr>
        <w:t>”更接近于租金——而非价格的概念。</w:t>
      </w:r>
      <w:r w:rsidR="00B67453">
        <w:rPr>
          <w:rFonts w:ascii="Times New Roman" w:cs="Times New Roman" w:hint="eastAsia"/>
        </w:rPr>
        <w:t>但考虑到在现行居住用地出让方式下，土地使用期限全程的“租金”均在地块出让时点上一次性付清，而无需再逐年另行支付费用，我们沿用了市场中约定俗成的观点，将该一次性支付的土地</w:t>
      </w:r>
      <w:r w:rsidR="007E4D2C">
        <w:rPr>
          <w:rFonts w:ascii="Times New Roman" w:cs="Times New Roman" w:hint="eastAsia"/>
        </w:rPr>
        <w:t>出让费用视为地块的“成交总价”。</w:t>
      </w:r>
    </w:p>
    <w:p w:rsidR="000E21A0" w:rsidRDefault="00DE6A14"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CRLPI</w:t>
      </w:r>
      <w:r>
        <w:rPr>
          <w:rFonts w:ascii="Times New Roman" w:cs="Times New Roman" w:hint="eastAsia"/>
        </w:rPr>
        <w:t>指数覆盖的“居住用地”是指全部或部分被规划为居住用途的土地地块，但其中不包含整个地块完全</w:t>
      </w:r>
      <w:r w:rsidR="000E21A0">
        <w:rPr>
          <w:rFonts w:ascii="Times New Roman" w:cs="Times New Roman" w:hint="eastAsia"/>
        </w:rPr>
        <w:t>被规划为保障性住房用途的地块</w:t>
      </w:r>
      <w:r w:rsidR="00F0184D">
        <w:rPr>
          <w:rStyle w:val="af"/>
          <w:rFonts w:ascii="Times New Roman" w:hAnsi="Times New Roman" w:cs="Times New Roman"/>
        </w:rPr>
        <w:footnoteReference w:id="1"/>
      </w:r>
      <w:r w:rsidR="00F0184D">
        <w:rPr>
          <w:rFonts w:ascii="Times New Roman" w:cs="Times New Roman" w:hint="eastAsia"/>
        </w:rPr>
        <w:t>。</w:t>
      </w:r>
      <w:r w:rsidR="000E21A0">
        <w:rPr>
          <w:rFonts w:ascii="Times New Roman" w:cs="Times New Roman" w:hint="eastAsia"/>
        </w:rPr>
        <w:t>这主要是考虑到</w:t>
      </w:r>
      <w:r w:rsidR="000C0048">
        <w:rPr>
          <w:rFonts w:ascii="Times New Roman" w:cs="Times New Roman" w:hint="eastAsia"/>
        </w:rPr>
        <w:t>保障性住房建设</w:t>
      </w:r>
      <w:r w:rsidR="000C0048">
        <w:rPr>
          <w:rFonts w:ascii="Times New Roman" w:cs="Times New Roman" w:hint="eastAsia"/>
        </w:rPr>
        <w:lastRenderedPageBreak/>
        <w:t>用地</w:t>
      </w:r>
      <w:r w:rsidR="000E21A0">
        <w:rPr>
          <w:rFonts w:ascii="Times New Roman" w:cs="Times New Roman" w:hint="eastAsia"/>
        </w:rPr>
        <w:t>的价格受到政府直接</w:t>
      </w:r>
      <w:r w:rsidR="000C0048">
        <w:rPr>
          <w:rFonts w:ascii="Times New Roman" w:cs="Times New Roman" w:hint="eastAsia"/>
        </w:rPr>
        <w:t>干预</w:t>
      </w:r>
      <w:r w:rsidR="000E21A0">
        <w:rPr>
          <w:rFonts w:ascii="Times New Roman" w:cs="Times New Roman" w:hint="eastAsia"/>
        </w:rPr>
        <w:t>程度可能较高，其价格形成机制与商品住房用地可能存在显著差异。</w:t>
      </w:r>
    </w:p>
    <w:p w:rsidR="00376833" w:rsidRPr="00E81937" w:rsidRDefault="000E21A0"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CRLPI</w:t>
      </w:r>
      <w:r>
        <w:rPr>
          <w:rFonts w:ascii="Times New Roman" w:cs="Times New Roman" w:hint="eastAsia"/>
        </w:rPr>
        <w:t>指数</w:t>
      </w:r>
      <w:r w:rsidR="00A72853" w:rsidRPr="003A243E">
        <w:rPr>
          <w:rFonts w:ascii="Times New Roman" w:cs="Times New Roman"/>
        </w:rPr>
        <w:t>以</w:t>
      </w:r>
      <w:r w:rsidR="00DB0803" w:rsidRPr="00E81937">
        <w:rPr>
          <w:rFonts w:ascii="Times New Roman" w:cs="Times New Roman"/>
        </w:rPr>
        <w:t>2004</w:t>
      </w:r>
      <w:r w:rsidR="00DB0803" w:rsidRPr="003A243E">
        <w:rPr>
          <w:rFonts w:ascii="Times New Roman" w:cs="Times New Roman"/>
        </w:rPr>
        <w:t>年</w:t>
      </w:r>
      <w:r w:rsidR="00A72853" w:rsidRPr="003A243E">
        <w:rPr>
          <w:rFonts w:ascii="Times New Roman" w:cs="Times New Roman"/>
        </w:rPr>
        <w:t>作为</w:t>
      </w:r>
      <w:r w:rsidR="00DB0803" w:rsidRPr="003A243E">
        <w:rPr>
          <w:rFonts w:ascii="Times New Roman" w:cs="Times New Roman"/>
        </w:rPr>
        <w:t>起始</w:t>
      </w:r>
      <w:r w:rsidR="00A72853" w:rsidRPr="003A243E">
        <w:rPr>
          <w:rFonts w:ascii="Times New Roman" w:cs="Times New Roman"/>
        </w:rPr>
        <w:t>年份</w:t>
      </w:r>
      <w:r>
        <w:rPr>
          <w:rFonts w:ascii="Times New Roman" w:cs="Times New Roman" w:hint="eastAsia"/>
        </w:rPr>
        <w:t>。</w:t>
      </w:r>
      <w:r w:rsidR="000C0048">
        <w:rPr>
          <w:rFonts w:ascii="Times New Roman" w:cs="Times New Roman" w:hint="eastAsia"/>
        </w:rPr>
        <w:t>在此之前，多数城市居住用地出让主要采用协议方式，其价格可能</w:t>
      </w:r>
      <w:r w:rsidR="00CD403B">
        <w:rPr>
          <w:rFonts w:ascii="Times New Roman" w:cs="Times New Roman" w:hint="eastAsia"/>
        </w:rPr>
        <w:t>与</w:t>
      </w:r>
      <w:r w:rsidR="000C0048">
        <w:rPr>
          <w:rFonts w:ascii="Times New Roman" w:cs="Times New Roman" w:hint="eastAsia"/>
        </w:rPr>
        <w:t>合理市场价格</w:t>
      </w:r>
      <w:r w:rsidR="00CD403B">
        <w:rPr>
          <w:rFonts w:ascii="Times New Roman" w:cs="Times New Roman" w:hint="eastAsia"/>
        </w:rPr>
        <w:t>存在</w:t>
      </w:r>
      <w:r>
        <w:rPr>
          <w:rFonts w:ascii="Times New Roman" w:cs="Times New Roman" w:hint="eastAsia"/>
        </w:rPr>
        <w:t>偏离</w:t>
      </w:r>
      <w:r w:rsidR="00F0184D">
        <w:rPr>
          <w:rStyle w:val="af"/>
          <w:rFonts w:ascii="Times New Roman" w:hAnsi="Times New Roman" w:cs="Times New Roman"/>
        </w:rPr>
        <w:footnoteReference w:id="2"/>
      </w:r>
      <w:r>
        <w:rPr>
          <w:rFonts w:ascii="Times New Roman" w:cs="Times New Roman" w:hint="eastAsia"/>
        </w:rPr>
        <w:t>。</w:t>
      </w:r>
      <w:r w:rsidR="00501F93" w:rsidRPr="00E81937">
        <w:rPr>
          <w:rFonts w:ascii="Times New Roman" w:cs="Times New Roman"/>
        </w:rPr>
        <w:t>2002</w:t>
      </w:r>
      <w:r w:rsidR="00501F93" w:rsidRPr="003A243E">
        <w:rPr>
          <w:rFonts w:ascii="Times New Roman" w:cs="Times New Roman"/>
        </w:rPr>
        <w:t>年</w:t>
      </w:r>
      <w:r w:rsidR="00501F93" w:rsidRPr="00E81937">
        <w:rPr>
          <w:rFonts w:ascii="Times New Roman" w:cs="Times New Roman"/>
        </w:rPr>
        <w:t>5</w:t>
      </w:r>
      <w:r>
        <w:rPr>
          <w:rFonts w:ascii="Times New Roman" w:cs="Times New Roman"/>
        </w:rPr>
        <w:t>月</w:t>
      </w:r>
      <w:r w:rsidR="00501F93" w:rsidRPr="003A243E">
        <w:rPr>
          <w:rFonts w:ascii="Times New Roman" w:cs="Times New Roman"/>
        </w:rPr>
        <w:t>国土资源部出台规定</w:t>
      </w:r>
      <w:r w:rsidRPr="003A243E">
        <w:rPr>
          <w:rFonts w:ascii="Times New Roman" w:cs="Times New Roman"/>
        </w:rPr>
        <w:t>（</w:t>
      </w:r>
      <w:r w:rsidRPr="00E81937">
        <w:rPr>
          <w:rFonts w:ascii="Times New Roman" w:cs="Times New Roman"/>
        </w:rPr>
        <w:t>国土资源部</w:t>
      </w:r>
      <w:r w:rsidRPr="00E81937">
        <w:rPr>
          <w:rFonts w:ascii="Times New Roman" w:cs="Times New Roman"/>
        </w:rPr>
        <w:t>11</w:t>
      </w:r>
      <w:r w:rsidRPr="00E81937">
        <w:rPr>
          <w:rFonts w:ascii="Times New Roman" w:cs="Times New Roman"/>
        </w:rPr>
        <w:t>号</w:t>
      </w:r>
      <w:r w:rsidRPr="00E81937">
        <w:rPr>
          <w:rFonts w:ascii="Times New Roman" w:cs="Times New Roman" w:hint="eastAsia"/>
        </w:rPr>
        <w:t>令</w:t>
      </w:r>
      <w:r w:rsidRPr="003A243E">
        <w:rPr>
          <w:rFonts w:ascii="Times New Roman" w:cs="Times New Roman"/>
        </w:rPr>
        <w:t>）</w:t>
      </w:r>
      <w:r>
        <w:rPr>
          <w:rFonts w:ascii="Times New Roman" w:cs="Times New Roman" w:hint="eastAsia"/>
        </w:rPr>
        <w:t>，要求</w:t>
      </w:r>
      <w:r w:rsidR="00501F93" w:rsidRPr="00E81937">
        <w:rPr>
          <w:rFonts w:ascii="Times New Roman" w:cs="Times New Roman"/>
        </w:rPr>
        <w:t>2002</w:t>
      </w:r>
      <w:r w:rsidR="00501F93" w:rsidRPr="003A243E">
        <w:rPr>
          <w:rFonts w:ascii="Times New Roman" w:cs="Times New Roman"/>
        </w:rPr>
        <w:t>年</w:t>
      </w:r>
      <w:r w:rsidR="00501F93" w:rsidRPr="00E81937">
        <w:rPr>
          <w:rFonts w:ascii="Times New Roman" w:cs="Times New Roman"/>
        </w:rPr>
        <w:t>6</w:t>
      </w:r>
      <w:r w:rsidR="00501F93" w:rsidRPr="003A243E">
        <w:rPr>
          <w:rFonts w:ascii="Times New Roman" w:cs="Times New Roman"/>
        </w:rPr>
        <w:t>月之后</w:t>
      </w:r>
      <w:r>
        <w:rPr>
          <w:rFonts w:ascii="Times New Roman" w:cs="Times New Roman" w:hint="eastAsia"/>
        </w:rPr>
        <w:t>包括居住用地在内的</w:t>
      </w:r>
      <w:r w:rsidR="00501F93" w:rsidRPr="003A243E">
        <w:rPr>
          <w:rFonts w:ascii="Times New Roman" w:cs="Times New Roman"/>
        </w:rPr>
        <w:t>所有</w:t>
      </w:r>
      <w:r>
        <w:rPr>
          <w:rFonts w:ascii="Times New Roman" w:cs="Times New Roman" w:hint="eastAsia"/>
        </w:rPr>
        <w:t>经营性土地使用权出让</w:t>
      </w:r>
      <w:r w:rsidR="00501F93" w:rsidRPr="003A243E">
        <w:rPr>
          <w:rFonts w:ascii="Times New Roman" w:cs="Times New Roman"/>
        </w:rPr>
        <w:t>必须</w:t>
      </w:r>
      <w:r>
        <w:rPr>
          <w:rFonts w:ascii="Times New Roman" w:cs="Times New Roman" w:hint="eastAsia"/>
        </w:rPr>
        <w:t>采用</w:t>
      </w:r>
      <w:r w:rsidR="00501F93" w:rsidRPr="003A243E">
        <w:rPr>
          <w:rFonts w:ascii="Times New Roman" w:cs="Times New Roman"/>
        </w:rPr>
        <w:t>公开</w:t>
      </w:r>
      <w:r w:rsidR="00AC2ED7" w:rsidRPr="003A243E">
        <w:rPr>
          <w:rFonts w:ascii="Times New Roman" w:cs="Times New Roman"/>
        </w:rPr>
        <w:t>招拍挂</w:t>
      </w:r>
      <w:r w:rsidR="00501F93" w:rsidRPr="003A243E">
        <w:rPr>
          <w:rFonts w:ascii="Times New Roman" w:cs="Times New Roman"/>
        </w:rPr>
        <w:t>的形式</w:t>
      </w:r>
      <w:r>
        <w:rPr>
          <w:rFonts w:ascii="Times New Roman" w:cs="Times New Roman" w:hint="eastAsia"/>
        </w:rPr>
        <w:t>，随后</w:t>
      </w:r>
      <w:r>
        <w:rPr>
          <w:rFonts w:ascii="Times New Roman" w:cs="Times New Roman"/>
        </w:rPr>
        <w:t>这一</w:t>
      </w:r>
      <w:r>
        <w:rPr>
          <w:rFonts w:ascii="Times New Roman" w:cs="Times New Roman" w:hint="eastAsia"/>
        </w:rPr>
        <w:t>要求</w:t>
      </w:r>
      <w:r w:rsidR="00501F93" w:rsidRPr="003A243E">
        <w:rPr>
          <w:rFonts w:ascii="Times New Roman" w:cs="Times New Roman"/>
        </w:rPr>
        <w:t>在</w:t>
      </w:r>
      <w:r w:rsidR="00501F93" w:rsidRPr="00E81937">
        <w:rPr>
          <w:rFonts w:ascii="Times New Roman" w:cs="Times New Roman"/>
        </w:rPr>
        <w:t>2004</w:t>
      </w:r>
      <w:r w:rsidR="00501F93" w:rsidRPr="003A243E">
        <w:rPr>
          <w:rFonts w:ascii="Times New Roman" w:cs="Times New Roman"/>
        </w:rPr>
        <w:t>年</w:t>
      </w:r>
      <w:r w:rsidR="00501F93" w:rsidRPr="00E81937">
        <w:rPr>
          <w:rFonts w:ascii="Times New Roman" w:cs="Times New Roman"/>
        </w:rPr>
        <w:t>3</w:t>
      </w:r>
      <w:r w:rsidR="00501F93" w:rsidRPr="003A243E">
        <w:rPr>
          <w:rFonts w:ascii="Times New Roman" w:cs="Times New Roman"/>
        </w:rPr>
        <w:t>月</w:t>
      </w:r>
      <w:r>
        <w:rPr>
          <w:rFonts w:ascii="Times New Roman" w:cs="Times New Roman" w:hint="eastAsia"/>
        </w:rPr>
        <w:t>又被</w:t>
      </w:r>
      <w:r w:rsidR="00501F93" w:rsidRPr="003A243E">
        <w:rPr>
          <w:rFonts w:ascii="Times New Roman" w:cs="Times New Roman"/>
        </w:rPr>
        <w:t>进一步</w:t>
      </w:r>
      <w:r>
        <w:rPr>
          <w:rFonts w:ascii="Times New Roman" w:cs="Times New Roman" w:hint="eastAsia"/>
        </w:rPr>
        <w:t>强化</w:t>
      </w:r>
      <w:r w:rsidR="00501F93" w:rsidRPr="003A243E">
        <w:rPr>
          <w:rFonts w:ascii="Times New Roman" w:cs="Times New Roman"/>
        </w:rPr>
        <w:t>（国土资源部</w:t>
      </w:r>
      <w:r w:rsidR="00501F93" w:rsidRPr="00E81937">
        <w:rPr>
          <w:rFonts w:ascii="Times New Roman" w:cs="Times New Roman"/>
        </w:rPr>
        <w:t>71</w:t>
      </w:r>
      <w:r w:rsidR="00501F93" w:rsidRPr="003A243E">
        <w:rPr>
          <w:rFonts w:ascii="Times New Roman" w:cs="Times New Roman"/>
        </w:rPr>
        <w:t>号</w:t>
      </w:r>
      <w:r>
        <w:rPr>
          <w:rFonts w:ascii="Times New Roman" w:cs="Times New Roman" w:hint="eastAsia"/>
        </w:rPr>
        <w:t>令</w:t>
      </w:r>
      <w:r w:rsidR="00501F93" w:rsidRPr="003A243E">
        <w:rPr>
          <w:rFonts w:ascii="Times New Roman" w:cs="Times New Roman"/>
        </w:rPr>
        <w:t>）。</w:t>
      </w:r>
      <w:r>
        <w:rPr>
          <w:rFonts w:ascii="Times New Roman" w:cs="Times New Roman" w:hint="eastAsia"/>
        </w:rPr>
        <w:t>这种</w:t>
      </w:r>
      <w:r w:rsidR="000C0048">
        <w:rPr>
          <w:rFonts w:ascii="Times New Roman" w:cs="Times New Roman" w:hint="eastAsia"/>
        </w:rPr>
        <w:t>改革</w:t>
      </w:r>
      <w:r>
        <w:rPr>
          <w:rFonts w:ascii="Times New Roman" w:cs="Times New Roman" w:hint="eastAsia"/>
        </w:rPr>
        <w:t>一方面使得</w:t>
      </w:r>
      <w:r w:rsidR="00501F93" w:rsidRPr="003A243E">
        <w:rPr>
          <w:rFonts w:ascii="Times New Roman" w:cs="Times New Roman"/>
        </w:rPr>
        <w:t>居住用地</w:t>
      </w:r>
      <w:r w:rsidR="00AC2ED7" w:rsidRPr="003A243E">
        <w:rPr>
          <w:rFonts w:ascii="Times New Roman" w:cs="Times New Roman"/>
        </w:rPr>
        <w:t>出让</w:t>
      </w:r>
      <w:r w:rsidR="00501F93" w:rsidRPr="003A243E">
        <w:rPr>
          <w:rFonts w:ascii="Times New Roman" w:cs="Times New Roman"/>
        </w:rPr>
        <w:t>价格</w:t>
      </w:r>
      <w:r w:rsidR="000C0048">
        <w:rPr>
          <w:rFonts w:ascii="Times New Roman" w:cs="Times New Roman" w:hint="eastAsia"/>
        </w:rPr>
        <w:t>更有可能</w:t>
      </w:r>
      <w:r>
        <w:rPr>
          <w:rFonts w:ascii="Times New Roman" w:cs="Times New Roman"/>
        </w:rPr>
        <w:t>合理</w:t>
      </w:r>
      <w:r w:rsidR="000C0048">
        <w:rPr>
          <w:rFonts w:ascii="Times New Roman" w:cs="Times New Roman" w:hint="eastAsia"/>
        </w:rPr>
        <w:t>反</w:t>
      </w:r>
      <w:r w:rsidR="00501F93" w:rsidRPr="003A243E">
        <w:rPr>
          <w:rFonts w:ascii="Times New Roman" w:cs="Times New Roman"/>
        </w:rPr>
        <w:t>映土地的市场价值。</w:t>
      </w:r>
      <w:r>
        <w:rPr>
          <w:rFonts w:ascii="Times New Roman" w:cs="Times New Roman" w:hint="eastAsia"/>
        </w:rPr>
        <w:t>另一方面</w:t>
      </w:r>
      <w:r w:rsidR="00364F97" w:rsidRPr="003A243E">
        <w:rPr>
          <w:rFonts w:ascii="Times New Roman" w:cs="Times New Roman"/>
        </w:rPr>
        <w:t>，作为公开</w:t>
      </w:r>
      <w:r w:rsidR="00AC2ED7" w:rsidRPr="003A243E">
        <w:rPr>
          <w:rFonts w:ascii="Times New Roman" w:cs="Times New Roman"/>
        </w:rPr>
        <w:t>招拍挂</w:t>
      </w:r>
      <w:r w:rsidR="00364F97" w:rsidRPr="003A243E">
        <w:rPr>
          <w:rFonts w:ascii="Times New Roman" w:cs="Times New Roman"/>
        </w:rPr>
        <w:t>过程</w:t>
      </w:r>
      <w:r w:rsidR="00AC2ED7" w:rsidRPr="003A243E">
        <w:rPr>
          <w:rFonts w:ascii="Times New Roman" w:cs="Times New Roman"/>
        </w:rPr>
        <w:t>中</w:t>
      </w:r>
      <w:r w:rsidR="000C0048">
        <w:rPr>
          <w:rFonts w:ascii="Times New Roman" w:cs="Times New Roman" w:hint="eastAsia"/>
        </w:rPr>
        <w:t>必需</w:t>
      </w:r>
      <w:r w:rsidR="00AC2ED7" w:rsidRPr="003A243E">
        <w:rPr>
          <w:rFonts w:ascii="Times New Roman" w:cs="Times New Roman"/>
        </w:rPr>
        <w:t>环节</w:t>
      </w:r>
      <w:r w:rsidR="00364F97" w:rsidRPr="003A243E">
        <w:rPr>
          <w:rFonts w:ascii="Times New Roman" w:cs="Times New Roman"/>
        </w:rPr>
        <w:t>，</w:t>
      </w:r>
      <w:r w:rsidR="000C0048">
        <w:rPr>
          <w:rFonts w:ascii="Times New Roman" w:cs="Times New Roman" w:hint="eastAsia"/>
        </w:rPr>
        <w:t>此后</w:t>
      </w:r>
      <w:r w:rsidR="000C0048">
        <w:rPr>
          <w:rFonts w:ascii="Times New Roman" w:cs="Times New Roman"/>
        </w:rPr>
        <w:t>各</w:t>
      </w:r>
      <w:r w:rsidR="0003260F" w:rsidRPr="003A243E">
        <w:rPr>
          <w:rFonts w:ascii="Times New Roman" w:cs="Times New Roman"/>
        </w:rPr>
        <w:t>城市土地管理部门</w:t>
      </w:r>
      <w:r w:rsidR="000C0048">
        <w:rPr>
          <w:rFonts w:ascii="Times New Roman" w:cs="Times New Roman" w:hint="eastAsia"/>
        </w:rPr>
        <w:t>普遍开始公开发布</w:t>
      </w:r>
      <w:r w:rsidR="00435AE2" w:rsidRPr="003A243E">
        <w:rPr>
          <w:rFonts w:ascii="Times New Roman" w:cs="Times New Roman"/>
        </w:rPr>
        <w:t>地块信息</w:t>
      </w:r>
      <w:r>
        <w:rPr>
          <w:rFonts w:ascii="Times New Roman" w:cs="Times New Roman" w:hint="eastAsia"/>
        </w:rPr>
        <w:t>和交易情况，</w:t>
      </w:r>
      <w:r w:rsidR="000C0048">
        <w:rPr>
          <w:rFonts w:ascii="Times New Roman" w:cs="Times New Roman" w:hint="eastAsia"/>
        </w:rPr>
        <w:t>使得相关</w:t>
      </w:r>
      <w:r w:rsidR="00457D5D">
        <w:rPr>
          <w:rFonts w:ascii="Times New Roman" w:cs="Times New Roman" w:hint="eastAsia"/>
        </w:rPr>
        <w:t>基础</w:t>
      </w:r>
      <w:r w:rsidR="000C0048">
        <w:rPr>
          <w:rFonts w:ascii="Times New Roman" w:cs="Times New Roman" w:hint="eastAsia"/>
        </w:rPr>
        <w:t>数据的采集成为可能</w:t>
      </w:r>
      <w:r w:rsidR="00435AE2" w:rsidRPr="003A243E">
        <w:rPr>
          <w:rFonts w:ascii="Times New Roman" w:cs="Times New Roman"/>
        </w:rPr>
        <w:t>。</w:t>
      </w:r>
    </w:p>
    <w:p w:rsidR="00321723" w:rsidRPr="00E81937" w:rsidRDefault="00435AE2" w:rsidP="00FE7D71">
      <w:pPr>
        <w:spacing w:beforeLines="50" w:before="156" w:afterLines="50" w:after="156" w:line="360" w:lineRule="auto"/>
        <w:ind w:firstLineChars="200" w:firstLine="420"/>
        <w:rPr>
          <w:rFonts w:ascii="Times New Roman" w:cs="Times New Roman"/>
        </w:rPr>
      </w:pPr>
      <w:r w:rsidRPr="003A243E">
        <w:rPr>
          <w:rFonts w:ascii="Times New Roman" w:cs="Times New Roman"/>
        </w:rPr>
        <w:t>表</w:t>
      </w:r>
      <w:r w:rsidR="002B7EB0">
        <w:rPr>
          <w:rFonts w:ascii="Times New Roman" w:cs="Times New Roman" w:hint="eastAsia"/>
        </w:rPr>
        <w:t>1</w:t>
      </w:r>
      <w:r w:rsidR="000E21A0">
        <w:rPr>
          <w:rFonts w:ascii="Times New Roman" w:cs="Times New Roman" w:hint="eastAsia"/>
        </w:rPr>
        <w:t>对</w:t>
      </w:r>
      <w:r w:rsidR="000E21A0">
        <w:rPr>
          <w:rFonts w:ascii="Times New Roman" w:cs="Times New Roman" w:hint="eastAsia"/>
        </w:rPr>
        <w:t>CRLPI</w:t>
      </w:r>
      <w:r w:rsidR="000E21A0">
        <w:rPr>
          <w:rFonts w:ascii="Times New Roman" w:cs="Times New Roman" w:hint="eastAsia"/>
        </w:rPr>
        <w:t>的指数体系进行了描述。</w:t>
      </w:r>
      <w:r w:rsidR="000C0048">
        <w:rPr>
          <w:rFonts w:ascii="Times New Roman" w:cs="Times New Roman" w:hint="eastAsia"/>
        </w:rPr>
        <w:t>目前</w:t>
      </w:r>
      <w:r w:rsidR="000E21A0">
        <w:rPr>
          <w:rFonts w:ascii="Times New Roman" w:cs="Times New Roman" w:hint="eastAsia"/>
        </w:rPr>
        <w:t>我们在三个不同</w:t>
      </w:r>
      <w:r w:rsidR="003C6991" w:rsidRPr="003A243E">
        <w:rPr>
          <w:rFonts w:ascii="Times New Roman" w:cs="Times New Roman"/>
        </w:rPr>
        <w:t>的</w:t>
      </w:r>
      <w:r w:rsidR="00B90CCB" w:rsidRPr="003A243E">
        <w:rPr>
          <w:rFonts w:ascii="Times New Roman" w:cs="Times New Roman"/>
        </w:rPr>
        <w:t>地理</w:t>
      </w:r>
      <w:r w:rsidR="000E21A0">
        <w:rPr>
          <w:rFonts w:ascii="Times New Roman" w:cs="Times New Roman" w:hint="eastAsia"/>
        </w:rPr>
        <w:t>维度上分别</w:t>
      </w:r>
      <w:r w:rsidR="000C0048">
        <w:rPr>
          <w:rFonts w:ascii="Times New Roman" w:cs="Times New Roman" w:hint="eastAsia"/>
        </w:rPr>
        <w:t>编制和</w:t>
      </w:r>
      <w:r w:rsidR="000E21A0">
        <w:rPr>
          <w:rFonts w:ascii="Times New Roman" w:cs="Times New Roman" w:hint="eastAsia"/>
        </w:rPr>
        <w:t>发布指数</w:t>
      </w:r>
      <w:r w:rsidR="00A72853" w:rsidRPr="003A243E">
        <w:rPr>
          <w:rFonts w:ascii="Times New Roman" w:cs="Times New Roman"/>
        </w:rPr>
        <w:t>。</w:t>
      </w:r>
      <w:r w:rsidR="000E21A0">
        <w:rPr>
          <w:rFonts w:ascii="Times New Roman" w:cs="Times New Roman" w:hint="eastAsia"/>
        </w:rPr>
        <w:t>全国</w:t>
      </w:r>
      <w:r w:rsidR="00B90CCB" w:rsidRPr="003A243E">
        <w:rPr>
          <w:rFonts w:ascii="Times New Roman" w:cs="Times New Roman"/>
        </w:rPr>
        <w:t>层面指数从</w:t>
      </w:r>
      <w:r w:rsidR="00B90CCB" w:rsidRPr="00E81937">
        <w:rPr>
          <w:rFonts w:ascii="Times New Roman" w:cs="Times New Roman"/>
        </w:rPr>
        <w:t>2004</w:t>
      </w:r>
      <w:r w:rsidR="00B90CCB" w:rsidRPr="003A243E">
        <w:rPr>
          <w:rFonts w:ascii="Times New Roman" w:cs="Times New Roman"/>
        </w:rPr>
        <w:t>年第一季度</w:t>
      </w:r>
      <w:r w:rsidR="000E21A0">
        <w:rPr>
          <w:rFonts w:ascii="Times New Roman" w:cs="Times New Roman" w:hint="eastAsia"/>
        </w:rPr>
        <w:t>起</w:t>
      </w:r>
      <w:r w:rsidR="00B90CCB" w:rsidRPr="003A243E">
        <w:rPr>
          <w:rFonts w:ascii="Times New Roman" w:cs="Times New Roman"/>
        </w:rPr>
        <w:t>按季度</w:t>
      </w:r>
      <w:r w:rsidR="000E21A0">
        <w:rPr>
          <w:rFonts w:ascii="Times New Roman" w:cs="Times New Roman" w:hint="eastAsia"/>
        </w:rPr>
        <w:t>更新</w:t>
      </w:r>
      <w:r w:rsidR="00B90CCB" w:rsidRPr="003A243E">
        <w:rPr>
          <w:rFonts w:ascii="Times New Roman" w:cs="Times New Roman"/>
        </w:rPr>
        <w:t>，它</w:t>
      </w:r>
      <w:r w:rsidR="000E21A0">
        <w:rPr>
          <w:rFonts w:ascii="Times New Roman" w:cs="Times New Roman" w:hint="eastAsia"/>
        </w:rPr>
        <w:t>覆盖了全部</w:t>
      </w:r>
      <w:r w:rsidR="00B90CCB" w:rsidRPr="00E81937">
        <w:rPr>
          <w:rFonts w:ascii="Times New Roman" w:cs="Times New Roman"/>
        </w:rPr>
        <w:t>35</w:t>
      </w:r>
      <w:r w:rsidR="000C0048">
        <w:rPr>
          <w:rFonts w:ascii="Times New Roman" w:cs="Times New Roman"/>
        </w:rPr>
        <w:t>个大中城市。三个区域层面指数</w:t>
      </w:r>
      <w:r w:rsidR="00EE0523" w:rsidRPr="003A243E">
        <w:rPr>
          <w:rFonts w:ascii="Times New Roman" w:cs="Times New Roman"/>
        </w:rPr>
        <w:t>从</w:t>
      </w:r>
      <w:r w:rsidR="00EE0523" w:rsidRPr="00E81937">
        <w:rPr>
          <w:rFonts w:ascii="Times New Roman" w:cs="Times New Roman"/>
        </w:rPr>
        <w:t>2004</w:t>
      </w:r>
      <w:r w:rsidR="00EE0523" w:rsidRPr="003A243E">
        <w:rPr>
          <w:rFonts w:ascii="Times New Roman" w:cs="Times New Roman"/>
        </w:rPr>
        <w:t>年</w:t>
      </w:r>
      <w:r w:rsidR="00EE0523">
        <w:rPr>
          <w:rFonts w:ascii="Times New Roman" w:cs="Times New Roman" w:hint="eastAsia"/>
        </w:rPr>
        <w:t>上半年起</w:t>
      </w:r>
      <w:r w:rsidR="000C0048">
        <w:rPr>
          <w:rFonts w:ascii="Times New Roman" w:cs="Times New Roman" w:hint="eastAsia"/>
        </w:rPr>
        <w:t>按</w:t>
      </w:r>
      <w:r w:rsidR="00B90CCB" w:rsidRPr="003A243E">
        <w:rPr>
          <w:rFonts w:ascii="Times New Roman" w:cs="Times New Roman"/>
        </w:rPr>
        <w:t>半年频率</w:t>
      </w:r>
      <w:r w:rsidR="000C0048">
        <w:rPr>
          <w:rFonts w:ascii="Times New Roman" w:cs="Times New Roman" w:hint="eastAsia"/>
        </w:rPr>
        <w:t>更新，并</w:t>
      </w:r>
      <w:r w:rsidR="000E21A0">
        <w:rPr>
          <w:rFonts w:ascii="Times New Roman" w:cs="Times New Roman" w:hint="eastAsia"/>
        </w:rPr>
        <w:t>沿用了</w:t>
      </w:r>
      <w:r w:rsidR="00B90CCB" w:rsidRPr="003A243E">
        <w:rPr>
          <w:rFonts w:ascii="Times New Roman" w:cs="Times New Roman"/>
        </w:rPr>
        <w:t>国家统计局对于东部、中部、西部的官方定义</w:t>
      </w:r>
      <w:r w:rsidR="000C0048">
        <w:rPr>
          <w:rFonts w:ascii="Times New Roman" w:cs="Times New Roman" w:hint="eastAsia"/>
        </w:rPr>
        <w:t>（</w:t>
      </w:r>
      <w:r w:rsidR="00B90CCB" w:rsidRPr="003A243E">
        <w:rPr>
          <w:rFonts w:ascii="Times New Roman" w:cs="Times New Roman"/>
        </w:rPr>
        <w:t>东部区域包含北京、天津、石家庄、沈阳、大连、上海、南京、杭州、宁波、福州、厦门、济南、青岛、广州、深圳和海口</w:t>
      </w:r>
      <w:r w:rsidR="000E21A0">
        <w:rPr>
          <w:rFonts w:ascii="Times New Roman" w:cs="Times New Roman" w:hint="eastAsia"/>
        </w:rPr>
        <w:t>等</w:t>
      </w:r>
      <w:r w:rsidR="000E21A0" w:rsidRPr="00E81937">
        <w:rPr>
          <w:rFonts w:ascii="Times New Roman" w:cs="Times New Roman"/>
        </w:rPr>
        <w:t>16</w:t>
      </w:r>
      <w:r w:rsidR="000E21A0" w:rsidRPr="003A243E">
        <w:rPr>
          <w:rFonts w:ascii="Times New Roman" w:cs="Times New Roman"/>
        </w:rPr>
        <w:t>个城市</w:t>
      </w:r>
      <w:r w:rsidR="000E21A0">
        <w:rPr>
          <w:rFonts w:ascii="Times New Roman" w:cs="Times New Roman" w:hint="eastAsia"/>
        </w:rPr>
        <w:t>；</w:t>
      </w:r>
      <w:r w:rsidR="00B90CCB" w:rsidRPr="003A243E">
        <w:rPr>
          <w:rFonts w:ascii="Times New Roman" w:cs="Times New Roman"/>
        </w:rPr>
        <w:t>中部区域包含太原、长春、哈尔滨、合肥、南昌、郑州、武汉和长沙</w:t>
      </w:r>
      <w:r w:rsidR="000E21A0">
        <w:rPr>
          <w:rFonts w:ascii="Times New Roman" w:cs="Times New Roman" w:hint="eastAsia"/>
        </w:rPr>
        <w:t>等</w:t>
      </w:r>
      <w:r w:rsidR="000E21A0" w:rsidRPr="00E81937">
        <w:rPr>
          <w:rFonts w:ascii="Times New Roman" w:cs="Times New Roman"/>
        </w:rPr>
        <w:t>8</w:t>
      </w:r>
      <w:r w:rsidR="00220C0D">
        <w:rPr>
          <w:rFonts w:ascii="Times New Roman" w:cs="Times New Roman"/>
        </w:rPr>
        <w:t>个城市</w:t>
      </w:r>
      <w:r w:rsidR="00220C0D">
        <w:rPr>
          <w:rFonts w:ascii="Times New Roman" w:cs="Times New Roman" w:hint="eastAsia"/>
        </w:rPr>
        <w:t>；</w:t>
      </w:r>
      <w:r w:rsidR="00B90CCB" w:rsidRPr="003A243E">
        <w:rPr>
          <w:rFonts w:ascii="Times New Roman" w:cs="Times New Roman"/>
        </w:rPr>
        <w:t>西部区域包含呼和浩特、南宁、重庆、成都、贵阳、昆明、西安、兰州、西宁、银川和乌鲁木齐</w:t>
      </w:r>
      <w:r w:rsidR="00220C0D">
        <w:rPr>
          <w:rFonts w:ascii="Times New Roman" w:cs="Times New Roman" w:hint="eastAsia"/>
        </w:rPr>
        <w:t>等</w:t>
      </w:r>
      <w:r w:rsidR="00220C0D" w:rsidRPr="00E81937">
        <w:rPr>
          <w:rFonts w:ascii="Times New Roman" w:cs="Times New Roman"/>
        </w:rPr>
        <w:t>11</w:t>
      </w:r>
      <w:r w:rsidR="00220C0D">
        <w:rPr>
          <w:rFonts w:ascii="Times New Roman" w:cs="Times New Roman"/>
        </w:rPr>
        <w:t>个城市</w:t>
      </w:r>
      <w:r w:rsidR="000C0048">
        <w:rPr>
          <w:rFonts w:ascii="Times New Roman" w:cs="Times New Roman" w:hint="eastAsia"/>
        </w:rPr>
        <w:t>）</w:t>
      </w:r>
      <w:r w:rsidR="00B90CCB" w:rsidRPr="003A243E">
        <w:rPr>
          <w:rFonts w:ascii="Times New Roman" w:cs="Times New Roman"/>
        </w:rPr>
        <w:t>。</w:t>
      </w:r>
      <w:r w:rsidR="00321723" w:rsidRPr="00E81937">
        <w:rPr>
          <w:rFonts w:ascii="Times New Roman" w:cs="Times New Roman"/>
        </w:rPr>
        <w:t>12</w:t>
      </w:r>
      <w:r w:rsidR="00321723" w:rsidRPr="003A243E">
        <w:rPr>
          <w:rFonts w:ascii="Times New Roman" w:cs="Times New Roman"/>
        </w:rPr>
        <w:t>个</w:t>
      </w:r>
      <w:r w:rsidR="000C0048">
        <w:rPr>
          <w:rFonts w:ascii="Times New Roman" w:cs="Times New Roman" w:hint="eastAsia"/>
        </w:rPr>
        <w:t>重点</w:t>
      </w:r>
      <w:r w:rsidR="00321723" w:rsidRPr="003A243E">
        <w:rPr>
          <w:rFonts w:ascii="Times New Roman" w:cs="Times New Roman"/>
        </w:rPr>
        <w:t>城市</w:t>
      </w:r>
      <w:r w:rsidR="000C0048">
        <w:rPr>
          <w:rFonts w:ascii="Times New Roman" w:cs="Times New Roman" w:hint="eastAsia"/>
        </w:rPr>
        <w:t>指数则</w:t>
      </w:r>
      <w:r w:rsidR="00EE0523">
        <w:rPr>
          <w:rFonts w:ascii="Times New Roman" w:cs="Times New Roman" w:hint="eastAsia"/>
        </w:rPr>
        <w:t>从</w:t>
      </w:r>
      <w:r w:rsidR="00EE0523">
        <w:rPr>
          <w:rFonts w:ascii="Times New Roman" w:cs="Times New Roman" w:hint="eastAsia"/>
        </w:rPr>
        <w:t>2004</w:t>
      </w:r>
      <w:r w:rsidR="00EE0523">
        <w:rPr>
          <w:rFonts w:ascii="Times New Roman" w:cs="Times New Roman" w:hint="eastAsia"/>
        </w:rPr>
        <w:t>年起</w:t>
      </w:r>
      <w:r w:rsidR="000C0048">
        <w:rPr>
          <w:rFonts w:ascii="Times New Roman" w:cs="Times New Roman" w:hint="eastAsia"/>
        </w:rPr>
        <w:t>按</w:t>
      </w:r>
      <w:r w:rsidR="00321723" w:rsidRPr="003A243E">
        <w:rPr>
          <w:rFonts w:ascii="Times New Roman" w:cs="Times New Roman"/>
        </w:rPr>
        <w:t>年度</w:t>
      </w:r>
      <w:r w:rsidR="000C0048">
        <w:rPr>
          <w:rFonts w:ascii="Times New Roman" w:cs="Times New Roman" w:hint="eastAsia"/>
        </w:rPr>
        <w:t>频率更新</w:t>
      </w:r>
      <w:r w:rsidR="00220C0D">
        <w:rPr>
          <w:rFonts w:ascii="Times New Roman" w:cs="Times New Roman" w:hint="eastAsia"/>
        </w:rPr>
        <w:t>，包括</w:t>
      </w:r>
      <w:r w:rsidR="00321723" w:rsidRPr="003A243E">
        <w:rPr>
          <w:rFonts w:ascii="Times New Roman" w:cs="Times New Roman"/>
        </w:rPr>
        <w:t>北京、天津、大连、上海（始自</w:t>
      </w:r>
      <w:r w:rsidR="00321723" w:rsidRPr="00E81937">
        <w:rPr>
          <w:rFonts w:ascii="Times New Roman" w:cs="Times New Roman"/>
        </w:rPr>
        <w:t>2006</w:t>
      </w:r>
      <w:r w:rsidR="00321723" w:rsidRPr="003A243E">
        <w:rPr>
          <w:rFonts w:ascii="Times New Roman" w:cs="Times New Roman"/>
        </w:rPr>
        <w:t>年）、南京、杭州、武汉、长沙、广州（始自</w:t>
      </w:r>
      <w:r w:rsidR="00321723" w:rsidRPr="00E81937">
        <w:rPr>
          <w:rFonts w:ascii="Times New Roman" w:cs="Times New Roman"/>
        </w:rPr>
        <w:t>2007</w:t>
      </w:r>
      <w:r w:rsidR="00321723" w:rsidRPr="003A243E">
        <w:rPr>
          <w:rFonts w:ascii="Times New Roman" w:cs="Times New Roman"/>
        </w:rPr>
        <w:t>年）、重庆、成都和西安（始自</w:t>
      </w:r>
      <w:r w:rsidR="00321723" w:rsidRPr="00E81937">
        <w:rPr>
          <w:rFonts w:ascii="Times New Roman" w:cs="Times New Roman"/>
        </w:rPr>
        <w:t>2007</w:t>
      </w:r>
      <w:r w:rsidR="00321723" w:rsidRPr="003A243E">
        <w:rPr>
          <w:rFonts w:ascii="Times New Roman" w:cs="Times New Roman"/>
        </w:rPr>
        <w:t>年）。</w:t>
      </w:r>
      <w:r w:rsidR="00220C0D">
        <w:rPr>
          <w:rFonts w:ascii="Times New Roman" w:cs="Times New Roman" w:hint="eastAsia"/>
        </w:rPr>
        <w:t>我们在选择这些</w:t>
      </w:r>
      <w:r w:rsidR="000C0048">
        <w:rPr>
          <w:rFonts w:ascii="Times New Roman" w:cs="Times New Roman" w:hint="eastAsia"/>
        </w:rPr>
        <w:t>重点</w:t>
      </w:r>
      <w:r w:rsidR="00220C0D">
        <w:rPr>
          <w:rFonts w:ascii="Times New Roman" w:cs="Times New Roman" w:hint="eastAsia"/>
        </w:rPr>
        <w:t>城市时，综合考虑了</w:t>
      </w:r>
      <w:r w:rsidR="000C0048">
        <w:rPr>
          <w:rFonts w:ascii="Times New Roman" w:cs="Times New Roman" w:hint="eastAsia"/>
        </w:rPr>
        <w:t>城市</w:t>
      </w:r>
      <w:r w:rsidR="00220C0D">
        <w:rPr>
          <w:rFonts w:ascii="Times New Roman" w:cs="Times New Roman" w:hint="eastAsia"/>
        </w:rPr>
        <w:t>代表性和基础数据可靠性等方面因素</w:t>
      </w:r>
      <w:r w:rsidR="00321723" w:rsidRPr="003A243E">
        <w:rPr>
          <w:rFonts w:ascii="Times New Roman" w:cs="Times New Roman"/>
        </w:rPr>
        <w:t>。</w:t>
      </w:r>
      <w:r w:rsidR="00220C0D">
        <w:rPr>
          <w:rFonts w:ascii="Times New Roman" w:cs="Times New Roman" w:hint="eastAsia"/>
        </w:rPr>
        <w:t>特别的，只有在城市年样本量持续保持在</w:t>
      </w:r>
      <w:r w:rsidR="00220C0D">
        <w:rPr>
          <w:rFonts w:ascii="Times New Roman" w:cs="Times New Roman" w:hint="eastAsia"/>
        </w:rPr>
        <w:t>15</w:t>
      </w:r>
      <w:r w:rsidR="00220C0D">
        <w:rPr>
          <w:rFonts w:ascii="Times New Roman" w:cs="Times New Roman" w:hint="eastAsia"/>
        </w:rPr>
        <w:t>宗以上后我们才会针对该城市</w:t>
      </w:r>
      <w:r w:rsidR="000C0048">
        <w:rPr>
          <w:rFonts w:ascii="Times New Roman" w:cs="Times New Roman" w:hint="eastAsia"/>
        </w:rPr>
        <w:t>单独</w:t>
      </w:r>
      <w:r w:rsidR="00220C0D">
        <w:rPr>
          <w:rFonts w:ascii="Times New Roman" w:cs="Times New Roman" w:hint="eastAsia"/>
        </w:rPr>
        <w:t>发布指数，这也解释了为什么</w:t>
      </w:r>
      <w:r w:rsidR="0013065A" w:rsidRPr="00E81937">
        <w:rPr>
          <w:rFonts w:ascii="Times New Roman" w:cs="Times New Roman"/>
        </w:rPr>
        <w:t>上海</w:t>
      </w:r>
      <w:r w:rsidR="00220C0D" w:rsidRPr="00E81937">
        <w:rPr>
          <w:rFonts w:ascii="Times New Roman" w:cs="Times New Roman" w:hint="eastAsia"/>
        </w:rPr>
        <w:t>、</w:t>
      </w:r>
      <w:r w:rsidR="0013065A" w:rsidRPr="00E81937">
        <w:rPr>
          <w:rFonts w:ascii="Times New Roman" w:cs="Times New Roman"/>
        </w:rPr>
        <w:t>广州、西安</w:t>
      </w:r>
      <w:r w:rsidR="00220C0D" w:rsidRPr="00E81937">
        <w:rPr>
          <w:rFonts w:ascii="Times New Roman" w:cs="Times New Roman" w:hint="eastAsia"/>
        </w:rPr>
        <w:t>等城市年度指数的起始时间晚于</w:t>
      </w:r>
      <w:r w:rsidR="0013065A" w:rsidRPr="00E81937">
        <w:rPr>
          <w:rFonts w:ascii="Times New Roman" w:cs="Times New Roman"/>
        </w:rPr>
        <w:t>200</w:t>
      </w:r>
      <w:r w:rsidR="000C0048">
        <w:rPr>
          <w:rFonts w:ascii="Times New Roman" w:cs="Times New Roman" w:hint="eastAsia"/>
        </w:rPr>
        <w:t>4</w:t>
      </w:r>
      <w:r w:rsidR="0013065A" w:rsidRPr="00E81937">
        <w:rPr>
          <w:rFonts w:ascii="Times New Roman" w:cs="Times New Roman"/>
        </w:rPr>
        <w:t>年。</w:t>
      </w:r>
    </w:p>
    <w:p w:rsidR="00C26F0A" w:rsidRPr="003A243E" w:rsidRDefault="00C26F0A" w:rsidP="00FE7D71">
      <w:pPr>
        <w:pStyle w:val="a3"/>
        <w:numPr>
          <w:ilvl w:val="0"/>
          <w:numId w:val="2"/>
        </w:numPr>
        <w:spacing w:beforeLines="100" w:before="312" w:afterLines="50" w:after="156" w:line="360" w:lineRule="auto"/>
        <w:ind w:left="482" w:hangingChars="200" w:hanging="482"/>
        <w:rPr>
          <w:rFonts w:ascii="Times New Roman" w:cs="Times New Roman"/>
          <w:b/>
          <w:sz w:val="24"/>
        </w:rPr>
      </w:pPr>
      <w:r w:rsidRPr="003A243E">
        <w:rPr>
          <w:rFonts w:ascii="Times New Roman" w:cs="Times New Roman"/>
          <w:b/>
          <w:sz w:val="24"/>
        </w:rPr>
        <w:t>数据</w:t>
      </w:r>
      <w:r w:rsidR="00220C0D">
        <w:rPr>
          <w:rFonts w:ascii="Times New Roman" w:cs="Times New Roman" w:hint="eastAsia"/>
          <w:b/>
          <w:sz w:val="24"/>
        </w:rPr>
        <w:t>采集和指数计算</w:t>
      </w:r>
    </w:p>
    <w:p w:rsidR="00C26F0A" w:rsidRPr="005B5B65" w:rsidRDefault="00C26F0A" w:rsidP="00FE7D71">
      <w:pPr>
        <w:pStyle w:val="a3"/>
        <w:numPr>
          <w:ilvl w:val="0"/>
          <w:numId w:val="3"/>
        </w:numPr>
        <w:spacing w:beforeLines="50" w:before="156" w:afterLines="50" w:after="156" w:line="360" w:lineRule="auto"/>
        <w:ind w:firstLineChars="0"/>
        <w:rPr>
          <w:rFonts w:ascii="Times New Roman" w:hAnsi="Times New Roman" w:cs="Times New Roman"/>
          <w:b/>
        </w:rPr>
      </w:pPr>
      <w:r w:rsidRPr="005B5B65">
        <w:rPr>
          <w:rFonts w:ascii="Times New Roman" w:cs="Times New Roman"/>
          <w:b/>
        </w:rPr>
        <w:t>数据来源</w:t>
      </w:r>
    </w:p>
    <w:p w:rsidR="00B35817" w:rsidRPr="00B35817" w:rsidRDefault="00EE0523"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作为地块公开</w:t>
      </w:r>
      <w:r w:rsidR="00B35817">
        <w:rPr>
          <w:rFonts w:ascii="Times New Roman" w:cs="Times New Roman" w:hint="eastAsia"/>
        </w:rPr>
        <w:t>出让的必需环节之一，各城市土地管理部门在</w:t>
      </w:r>
      <w:r>
        <w:rPr>
          <w:rFonts w:ascii="Times New Roman" w:cs="Times New Roman" w:hint="eastAsia"/>
        </w:rPr>
        <w:t>特定地块出让前需要在其官方网站和当地主要媒体上公开发布“出让公告”，其中包含了地块</w:t>
      </w:r>
      <w:r w:rsidR="00B35817" w:rsidRPr="003A243E">
        <w:rPr>
          <w:rFonts w:ascii="Times New Roman" w:cs="Times New Roman"/>
        </w:rPr>
        <w:t>位置、规模、规划用途、出让状况、主要规划指标等详细信息</w:t>
      </w:r>
      <w:r w:rsidR="00B35817">
        <w:rPr>
          <w:rFonts w:ascii="Times New Roman" w:cs="Times New Roman" w:hint="eastAsia"/>
        </w:rPr>
        <w:t>。</w:t>
      </w:r>
      <w:r w:rsidR="00784777">
        <w:rPr>
          <w:rFonts w:ascii="Times New Roman" w:cs="Times New Roman" w:hint="eastAsia"/>
        </w:rPr>
        <w:t>出让交易完成后，土地管理部门还</w:t>
      </w:r>
      <w:r>
        <w:rPr>
          <w:rFonts w:ascii="Times New Roman" w:cs="Times New Roman" w:hint="eastAsia"/>
        </w:rPr>
        <w:t>需</w:t>
      </w:r>
      <w:r w:rsidR="00784777">
        <w:rPr>
          <w:rFonts w:ascii="Times New Roman" w:cs="Times New Roman" w:hint="eastAsia"/>
        </w:rPr>
        <w:t>以“交易结果”</w:t>
      </w:r>
      <w:r w:rsidR="00784777">
        <w:rPr>
          <w:rFonts w:ascii="Times New Roman" w:cs="Times New Roman" w:hint="eastAsia"/>
        </w:rPr>
        <w:lastRenderedPageBreak/>
        <w:t>形式公布</w:t>
      </w:r>
      <w:r>
        <w:rPr>
          <w:rFonts w:ascii="Times New Roman" w:cs="Times New Roman" w:hint="eastAsia"/>
        </w:rPr>
        <w:t>地块</w:t>
      </w:r>
      <w:r w:rsidR="00784777">
        <w:rPr>
          <w:rFonts w:ascii="Times New Roman" w:cs="Times New Roman" w:hint="eastAsia"/>
        </w:rPr>
        <w:t>最终竞得人和竞得价格。</w:t>
      </w:r>
      <w:r>
        <w:rPr>
          <w:rFonts w:ascii="Times New Roman" w:cs="Times New Roman" w:hint="eastAsia"/>
        </w:rPr>
        <w:t>在此基础上</w:t>
      </w:r>
      <w:r w:rsidR="00784777">
        <w:rPr>
          <w:rFonts w:ascii="Times New Roman" w:cs="Times New Roman" w:hint="eastAsia"/>
        </w:rPr>
        <w:t>，</w:t>
      </w:r>
      <w:r>
        <w:rPr>
          <w:rFonts w:ascii="Times New Roman" w:cs="Times New Roman" w:hint="eastAsia"/>
        </w:rPr>
        <w:t>部分</w:t>
      </w:r>
      <w:r w:rsidR="00784777">
        <w:rPr>
          <w:rFonts w:ascii="Times New Roman" w:cs="Times New Roman" w:hint="eastAsia"/>
        </w:rPr>
        <w:t>城市</w:t>
      </w:r>
      <w:r>
        <w:rPr>
          <w:rFonts w:ascii="Times New Roman" w:cs="Times New Roman" w:hint="eastAsia"/>
        </w:rPr>
        <w:t>（如北京、上海等）</w:t>
      </w:r>
      <w:r w:rsidR="00784777">
        <w:rPr>
          <w:rFonts w:ascii="Times New Roman" w:cs="Times New Roman" w:hint="eastAsia"/>
        </w:rPr>
        <w:t>土地管理部门还在其官方网站上对历年土地出让交易数据进行了汇总</w:t>
      </w:r>
      <w:r>
        <w:rPr>
          <w:rFonts w:ascii="Times New Roman" w:cs="Times New Roman" w:hint="eastAsia"/>
        </w:rPr>
        <w:t>和整理</w:t>
      </w:r>
      <w:r w:rsidR="00784777">
        <w:rPr>
          <w:rFonts w:ascii="Times New Roman" w:cs="Times New Roman" w:hint="eastAsia"/>
        </w:rPr>
        <w:t>。</w:t>
      </w:r>
    </w:p>
    <w:p w:rsidR="00B35817" w:rsidRDefault="00784777"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为满足编制</w:t>
      </w:r>
      <w:r>
        <w:rPr>
          <w:rFonts w:ascii="Times New Roman" w:cs="Times New Roman" w:hint="eastAsia"/>
        </w:rPr>
        <w:t>CRLPI</w:t>
      </w:r>
      <w:r>
        <w:rPr>
          <w:rFonts w:ascii="Times New Roman" w:cs="Times New Roman" w:hint="eastAsia"/>
        </w:rPr>
        <w:t>指数的需要，我们首先</w:t>
      </w:r>
      <w:r w:rsidR="00EE0523">
        <w:rPr>
          <w:rFonts w:ascii="Times New Roman" w:cs="Times New Roman" w:hint="eastAsia"/>
        </w:rPr>
        <w:t>与</w:t>
      </w:r>
      <w:r>
        <w:rPr>
          <w:rFonts w:ascii="Times New Roman" w:cs="Times New Roman" w:hint="eastAsia"/>
        </w:rPr>
        <w:t>中国指数研究院</w:t>
      </w:r>
      <w:r w:rsidR="00EE0523">
        <w:rPr>
          <w:rFonts w:ascii="Times New Roman" w:cs="Times New Roman" w:hint="eastAsia"/>
        </w:rPr>
        <w:t>合作，</w:t>
      </w:r>
      <w:r>
        <w:rPr>
          <w:rFonts w:ascii="Times New Roman" w:cs="Times New Roman" w:hint="eastAsia"/>
        </w:rPr>
        <w:t>获得各城市居住用地出让交易的全样本基础数据，再将其中的每一条交易数据与</w:t>
      </w:r>
      <w:r w:rsidR="00EE0523">
        <w:rPr>
          <w:rFonts w:ascii="Times New Roman" w:cs="Times New Roman" w:hint="eastAsia"/>
        </w:rPr>
        <w:t>城市</w:t>
      </w:r>
      <w:r>
        <w:rPr>
          <w:rFonts w:ascii="Times New Roman" w:cs="Times New Roman" w:hint="eastAsia"/>
        </w:rPr>
        <w:t>土地管理部门发布的“出让公告”和“交易结果”信息进行校核比对，对其中的错漏进行更正，</w:t>
      </w:r>
      <w:r w:rsidR="00EE0523">
        <w:rPr>
          <w:rFonts w:ascii="Times New Roman" w:cs="Times New Roman" w:hint="eastAsia"/>
        </w:rPr>
        <w:t>并</w:t>
      </w:r>
      <w:r>
        <w:rPr>
          <w:rFonts w:ascii="Times New Roman" w:cs="Times New Roman" w:hint="eastAsia"/>
        </w:rPr>
        <w:t>在地理信息系统（</w:t>
      </w:r>
      <w:r>
        <w:rPr>
          <w:rFonts w:ascii="Times New Roman" w:cs="Times New Roman" w:hint="eastAsia"/>
        </w:rPr>
        <w:t>GIS</w:t>
      </w:r>
      <w:r>
        <w:rPr>
          <w:rFonts w:ascii="Times New Roman" w:cs="Times New Roman" w:hint="eastAsia"/>
        </w:rPr>
        <w:t>）上标定每一块出让地块的空间位置。这最终构成了编制</w:t>
      </w:r>
      <w:r>
        <w:rPr>
          <w:rFonts w:ascii="Times New Roman" w:cs="Times New Roman" w:hint="eastAsia"/>
        </w:rPr>
        <w:t>CRLPI</w:t>
      </w:r>
      <w:r>
        <w:rPr>
          <w:rFonts w:ascii="Times New Roman" w:cs="Times New Roman" w:hint="eastAsia"/>
        </w:rPr>
        <w:t>指数所需的空间化居住用地出让交易微观数据库。</w:t>
      </w:r>
    </w:p>
    <w:p w:rsidR="00784777" w:rsidRDefault="00784777"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目前该数据库仅</w:t>
      </w:r>
      <w:r w:rsidR="00EE0523">
        <w:rPr>
          <w:rFonts w:ascii="Times New Roman" w:cs="Times New Roman" w:hint="eastAsia"/>
        </w:rPr>
        <w:t>覆盖各城市</w:t>
      </w:r>
      <w:r>
        <w:rPr>
          <w:rFonts w:ascii="Times New Roman" w:cs="Times New Roman" w:hint="eastAsia"/>
        </w:rPr>
        <w:t>市区范围内的行政区（开发区）和部分近郊区县，以及通过轨道交通线路（地铁、轻轨等）与中心城区联通的远郊区县。其他远郊区县和县级市</w:t>
      </w:r>
      <w:r w:rsidR="00EE0523">
        <w:rPr>
          <w:rFonts w:ascii="Times New Roman" w:cs="Times New Roman" w:hint="eastAsia"/>
        </w:rPr>
        <w:t>通常距离城市中心较</w:t>
      </w:r>
      <w:r>
        <w:rPr>
          <w:rFonts w:ascii="Times New Roman" w:cs="Times New Roman" w:hint="eastAsia"/>
        </w:rPr>
        <w:t>远，不能被认为</w:t>
      </w:r>
      <w:r w:rsidR="00EE0523">
        <w:rPr>
          <w:rFonts w:ascii="Times New Roman" w:cs="Times New Roman" w:hint="eastAsia"/>
        </w:rPr>
        <w:t>与中心城区</w:t>
      </w:r>
      <w:r>
        <w:rPr>
          <w:rFonts w:ascii="Times New Roman" w:cs="Times New Roman" w:hint="eastAsia"/>
        </w:rPr>
        <w:t>处于同一供需圈内，因此未被包含在该数据库中。表</w:t>
      </w:r>
      <w:r>
        <w:rPr>
          <w:rFonts w:ascii="Times New Roman" w:cs="Times New Roman" w:hint="eastAsia"/>
        </w:rPr>
        <w:t>2</w:t>
      </w:r>
      <w:r>
        <w:rPr>
          <w:rFonts w:ascii="Times New Roman" w:cs="Times New Roman" w:hint="eastAsia"/>
        </w:rPr>
        <w:t>具体给出了</w:t>
      </w:r>
      <w:r w:rsidR="00EE0523">
        <w:rPr>
          <w:rFonts w:ascii="Times New Roman" w:cs="Times New Roman" w:hint="eastAsia"/>
        </w:rPr>
        <w:t>数据库在</w:t>
      </w:r>
      <w:r>
        <w:rPr>
          <w:rFonts w:ascii="Times New Roman" w:cs="Times New Roman" w:hint="eastAsia"/>
        </w:rPr>
        <w:t>各个城市中的地域覆盖范围。</w:t>
      </w:r>
    </w:p>
    <w:p w:rsidR="00784777" w:rsidRPr="00E81937" w:rsidRDefault="00784777" w:rsidP="00FE7D71">
      <w:pPr>
        <w:spacing w:beforeLines="50" w:before="156" w:afterLines="50" w:after="156" w:line="360" w:lineRule="auto"/>
        <w:ind w:firstLineChars="200" w:firstLine="420"/>
        <w:rPr>
          <w:rFonts w:ascii="Times New Roman" w:cs="Times New Roman"/>
        </w:rPr>
      </w:pPr>
      <w:r w:rsidRPr="003A243E">
        <w:rPr>
          <w:rFonts w:ascii="Times New Roman" w:cs="Times New Roman"/>
        </w:rPr>
        <w:t>表</w:t>
      </w:r>
      <w:r>
        <w:rPr>
          <w:rFonts w:ascii="Times New Roman" w:cs="Times New Roman" w:hint="eastAsia"/>
        </w:rPr>
        <w:t>3</w:t>
      </w:r>
      <w:r>
        <w:rPr>
          <w:rFonts w:ascii="Times New Roman" w:cs="Times New Roman" w:hint="eastAsia"/>
        </w:rPr>
        <w:t>列出了</w:t>
      </w:r>
      <w:r w:rsidR="00EE0523">
        <w:rPr>
          <w:rFonts w:ascii="Times New Roman" w:cs="Times New Roman" w:hint="eastAsia"/>
        </w:rPr>
        <w:t>该</w:t>
      </w:r>
      <w:r>
        <w:rPr>
          <w:rFonts w:ascii="Times New Roman" w:cs="Times New Roman" w:hint="eastAsia"/>
        </w:rPr>
        <w:t>数据库</w:t>
      </w:r>
      <w:r w:rsidR="00EE0523">
        <w:rPr>
          <w:rFonts w:ascii="Times New Roman" w:cs="Times New Roman" w:hint="eastAsia"/>
        </w:rPr>
        <w:t>在</w:t>
      </w:r>
      <w:r>
        <w:rPr>
          <w:rFonts w:ascii="Times New Roman" w:cs="Times New Roman" w:hint="eastAsia"/>
        </w:rPr>
        <w:t>各年份的城市覆盖数和样本数</w:t>
      </w:r>
      <w:r w:rsidRPr="003A243E">
        <w:rPr>
          <w:rFonts w:ascii="Times New Roman" w:cs="Times New Roman"/>
        </w:rPr>
        <w:t>。其中有</w:t>
      </w:r>
      <w:r w:rsidRPr="00E81937">
        <w:rPr>
          <w:rFonts w:ascii="Times New Roman" w:cs="Times New Roman"/>
        </w:rPr>
        <w:t>22</w:t>
      </w:r>
      <w:r w:rsidRPr="003A243E">
        <w:rPr>
          <w:rFonts w:ascii="Times New Roman" w:cs="Times New Roman"/>
        </w:rPr>
        <w:t>个城市的</w:t>
      </w:r>
      <w:r w:rsidR="00EE0523">
        <w:rPr>
          <w:rFonts w:ascii="Times New Roman" w:cs="Times New Roman" w:hint="eastAsia"/>
        </w:rPr>
        <w:t>出让交易</w:t>
      </w:r>
      <w:r w:rsidRPr="003A243E">
        <w:rPr>
          <w:rFonts w:ascii="Times New Roman" w:cs="Times New Roman"/>
        </w:rPr>
        <w:t>数据可以追溯至</w:t>
      </w:r>
      <w:r w:rsidRPr="00E81937">
        <w:rPr>
          <w:rFonts w:ascii="Times New Roman" w:cs="Times New Roman"/>
        </w:rPr>
        <w:t>2004</w:t>
      </w:r>
      <w:r>
        <w:rPr>
          <w:rFonts w:ascii="Times New Roman" w:cs="Times New Roman"/>
        </w:rPr>
        <w:t>年</w:t>
      </w:r>
      <w:r>
        <w:rPr>
          <w:rFonts w:ascii="Times New Roman" w:cs="Times New Roman" w:hint="eastAsia"/>
        </w:rPr>
        <w:t>，其他城市则从稍后年份开始。</w:t>
      </w:r>
      <w:r w:rsidR="00F0184D">
        <w:rPr>
          <w:rStyle w:val="af"/>
          <w:rFonts w:ascii="Times New Roman" w:hAnsi="Times New Roman" w:cs="Times New Roman"/>
        </w:rPr>
        <w:footnoteReference w:id="3"/>
      </w:r>
    </w:p>
    <w:p w:rsidR="00784777" w:rsidRPr="005B5B65" w:rsidRDefault="00641601" w:rsidP="00FE7D71">
      <w:pPr>
        <w:pStyle w:val="a3"/>
        <w:numPr>
          <w:ilvl w:val="0"/>
          <w:numId w:val="3"/>
        </w:numPr>
        <w:spacing w:beforeLines="50" w:before="156" w:afterLines="50" w:after="156" w:line="360" w:lineRule="auto"/>
        <w:ind w:firstLineChars="0"/>
        <w:rPr>
          <w:rFonts w:ascii="Times New Roman" w:cs="Times New Roman"/>
          <w:b/>
        </w:rPr>
      </w:pPr>
      <w:r>
        <w:rPr>
          <w:rFonts w:ascii="Times New Roman" w:cs="Times New Roman" w:hint="eastAsia"/>
          <w:b/>
        </w:rPr>
        <w:t>价格指标</w:t>
      </w:r>
    </w:p>
    <w:p w:rsidR="00784777" w:rsidRDefault="006537B5"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沿用</w:t>
      </w:r>
      <w:r w:rsidR="00784777">
        <w:rPr>
          <w:rFonts w:ascii="Times New Roman" w:cs="Times New Roman" w:hint="eastAsia"/>
        </w:rPr>
        <w:t>目前多数城市土地市场惯例，</w:t>
      </w:r>
      <w:r w:rsidR="00641601">
        <w:rPr>
          <w:rFonts w:ascii="Times New Roman" w:cs="Times New Roman" w:hint="eastAsia"/>
        </w:rPr>
        <w:t>CRLPI</w:t>
      </w:r>
      <w:r w:rsidR="00641601">
        <w:rPr>
          <w:rFonts w:ascii="Times New Roman" w:cs="Times New Roman" w:hint="eastAsia"/>
        </w:rPr>
        <w:t>指数以“楼面地价”（即地块出让</w:t>
      </w:r>
      <w:r w:rsidR="00EE0523">
        <w:rPr>
          <w:rFonts w:ascii="Times New Roman" w:cs="Times New Roman" w:hint="eastAsia"/>
        </w:rPr>
        <w:t>总价</w:t>
      </w:r>
      <w:r w:rsidR="00641601">
        <w:rPr>
          <w:rFonts w:ascii="Times New Roman" w:cs="Times New Roman" w:hint="eastAsia"/>
        </w:rPr>
        <w:t>除以总规划建筑面积的结果）形式统计地块成交价格，并利用当地</w:t>
      </w:r>
      <w:r w:rsidR="00641601" w:rsidRPr="003A243E">
        <w:rPr>
          <w:rFonts w:ascii="Times New Roman" w:cs="Times New Roman"/>
        </w:rPr>
        <w:t>统计部门发布的月度</w:t>
      </w:r>
      <w:r w:rsidR="00EE0523">
        <w:rPr>
          <w:rFonts w:ascii="Times New Roman" w:cs="Times New Roman" w:hint="eastAsia"/>
        </w:rPr>
        <w:t>居民</w:t>
      </w:r>
      <w:r w:rsidR="00641601" w:rsidRPr="003A243E">
        <w:rPr>
          <w:rFonts w:ascii="Times New Roman" w:cs="Times New Roman"/>
        </w:rPr>
        <w:t>消费价格指数（</w:t>
      </w:r>
      <w:r w:rsidR="00641601" w:rsidRPr="00E81937">
        <w:rPr>
          <w:rFonts w:ascii="Times New Roman" w:cs="Times New Roman"/>
        </w:rPr>
        <w:t>CPI</w:t>
      </w:r>
      <w:r w:rsidR="00641601" w:rsidRPr="003A243E">
        <w:rPr>
          <w:rFonts w:ascii="Times New Roman" w:cs="Times New Roman"/>
        </w:rPr>
        <w:t>）</w:t>
      </w:r>
      <w:r w:rsidR="00641601">
        <w:rPr>
          <w:rFonts w:ascii="Times New Roman" w:cs="Times New Roman" w:hint="eastAsia"/>
        </w:rPr>
        <w:t>调整为不变价格</w:t>
      </w:r>
      <w:r w:rsidR="00004119">
        <w:rPr>
          <w:rStyle w:val="af"/>
          <w:rFonts w:ascii="Times New Roman" w:hAnsi="Times New Roman" w:cs="Times New Roman"/>
        </w:rPr>
        <w:footnoteReference w:id="4"/>
      </w:r>
      <w:r w:rsidR="00641601">
        <w:rPr>
          <w:rFonts w:ascii="Times New Roman" w:cs="Times New Roman" w:hint="eastAsia"/>
        </w:rPr>
        <w:t>。</w:t>
      </w:r>
      <w:r w:rsidR="00EE0523">
        <w:rPr>
          <w:rFonts w:ascii="Times New Roman" w:cs="Times New Roman" w:hint="eastAsia"/>
        </w:rPr>
        <w:t>该指标将作为因变量引入此后构建的特征价格模型，作为</w:t>
      </w:r>
      <w:r w:rsidR="00641601">
        <w:rPr>
          <w:rFonts w:ascii="Times New Roman" w:cs="Times New Roman" w:hint="eastAsia"/>
        </w:rPr>
        <w:t>进一步计算同质性价格指数</w:t>
      </w:r>
      <w:r w:rsidR="001D67C0">
        <w:rPr>
          <w:rFonts w:ascii="Times New Roman" w:cs="Times New Roman" w:hint="eastAsia"/>
        </w:rPr>
        <w:t>的基础</w:t>
      </w:r>
      <w:r w:rsidR="00641601">
        <w:rPr>
          <w:rFonts w:ascii="Times New Roman" w:cs="Times New Roman" w:hint="eastAsia"/>
        </w:rPr>
        <w:t>。</w:t>
      </w:r>
    </w:p>
    <w:p w:rsidR="00641601" w:rsidRPr="005B5B65" w:rsidRDefault="00641601" w:rsidP="00FE7D71">
      <w:pPr>
        <w:pStyle w:val="a3"/>
        <w:numPr>
          <w:ilvl w:val="0"/>
          <w:numId w:val="3"/>
        </w:numPr>
        <w:spacing w:beforeLines="50" w:before="156" w:afterLines="50" w:after="156" w:line="360" w:lineRule="auto"/>
        <w:ind w:firstLineChars="0"/>
        <w:rPr>
          <w:rFonts w:ascii="Times New Roman" w:cs="Times New Roman"/>
          <w:b/>
        </w:rPr>
      </w:pPr>
      <w:r>
        <w:rPr>
          <w:rFonts w:ascii="Times New Roman" w:cs="Times New Roman" w:hint="eastAsia"/>
          <w:b/>
        </w:rPr>
        <w:t>地块</w:t>
      </w:r>
      <w:r w:rsidRPr="005B5B65">
        <w:rPr>
          <w:rFonts w:ascii="Times New Roman" w:cs="Times New Roman"/>
          <w:b/>
        </w:rPr>
        <w:t>属性</w:t>
      </w:r>
    </w:p>
    <w:p w:rsidR="00784777" w:rsidRDefault="00641601"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除成交价格外，数据库中的每一宗土地还包括以下属性信息。这些属性将在利用特征价格法编制同质性价格指数时</w:t>
      </w:r>
      <w:r w:rsidR="001D67C0">
        <w:rPr>
          <w:rFonts w:ascii="Times New Roman" w:cs="Times New Roman" w:hint="eastAsia"/>
        </w:rPr>
        <w:t>作为控制变量引入</w:t>
      </w:r>
      <w:r>
        <w:rPr>
          <w:rFonts w:ascii="Times New Roman" w:cs="Times New Roman" w:hint="eastAsia"/>
        </w:rPr>
        <w:t>。</w:t>
      </w:r>
    </w:p>
    <w:p w:rsidR="00641601" w:rsidRPr="003A243E" w:rsidRDefault="00641601"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cs="Times New Roman"/>
        </w:rPr>
        <w:t>到城市中心的距离：地块距</w:t>
      </w:r>
      <w:r>
        <w:rPr>
          <w:rFonts w:ascii="Times New Roman" w:cs="Times New Roman" w:hint="eastAsia"/>
        </w:rPr>
        <w:t>离</w:t>
      </w:r>
      <w:r w:rsidRPr="003A243E">
        <w:rPr>
          <w:rFonts w:ascii="Times New Roman" w:cs="Times New Roman"/>
        </w:rPr>
        <w:t>城市中心的公里数（</w:t>
      </w:r>
      <w:r w:rsidRPr="003A243E">
        <w:rPr>
          <w:rFonts w:ascii="Times New Roman" w:hAnsi="Times New Roman" w:cs="Times New Roman"/>
          <w:i/>
        </w:rPr>
        <w:t>D_CENTER</w:t>
      </w:r>
      <w:r w:rsidRPr="003A243E">
        <w:rPr>
          <w:rFonts w:ascii="Times New Roman" w:cs="Times New Roman"/>
        </w:rPr>
        <w:t>）；</w:t>
      </w:r>
      <w:r>
        <w:rPr>
          <w:rFonts w:ascii="Times New Roman" w:cs="Times New Roman" w:hint="eastAsia"/>
        </w:rPr>
        <w:t>以</w:t>
      </w:r>
      <w:r w:rsidRPr="003A243E">
        <w:rPr>
          <w:rFonts w:ascii="Times New Roman" w:hAnsi="Times New Roman" w:cs="Times New Roman"/>
        </w:rPr>
        <w:t>对数形式</w:t>
      </w:r>
      <w:r>
        <w:rPr>
          <w:rFonts w:ascii="Times New Roman" w:hAnsi="Times New Roman" w:cs="Times New Roman" w:hint="eastAsia"/>
        </w:rPr>
        <w:t>引入特征价格模型</w:t>
      </w:r>
      <w:r w:rsidRPr="003A243E">
        <w:rPr>
          <w:rFonts w:ascii="Times New Roman" w:hAnsi="Times New Roman" w:cs="Times New Roman"/>
        </w:rPr>
        <w:t>。</w:t>
      </w:r>
    </w:p>
    <w:p w:rsidR="00641601" w:rsidRPr="003A243E" w:rsidRDefault="00641601"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hAnsi="Times New Roman" w:cs="Times New Roman"/>
        </w:rPr>
        <w:t>到最近地铁站的距离：地块距</w:t>
      </w:r>
      <w:r>
        <w:rPr>
          <w:rFonts w:ascii="Times New Roman" w:hAnsi="Times New Roman" w:cs="Times New Roman" w:hint="eastAsia"/>
        </w:rPr>
        <w:t>离</w:t>
      </w:r>
      <w:r w:rsidR="001D67C0">
        <w:rPr>
          <w:rFonts w:ascii="Times New Roman" w:hAnsi="Times New Roman" w:cs="Times New Roman" w:hint="eastAsia"/>
        </w:rPr>
        <w:t>地块成交时点</w:t>
      </w:r>
      <w:r>
        <w:rPr>
          <w:rFonts w:ascii="Times New Roman" w:hAnsi="Times New Roman" w:cs="Times New Roman" w:hint="eastAsia"/>
        </w:rPr>
        <w:t>已经</w:t>
      </w:r>
      <w:r w:rsidRPr="003A243E">
        <w:rPr>
          <w:rFonts w:ascii="Times New Roman" w:hAnsi="Times New Roman" w:cs="Times New Roman"/>
        </w:rPr>
        <w:t>开通</w:t>
      </w:r>
      <w:r>
        <w:rPr>
          <w:rFonts w:ascii="Times New Roman" w:hAnsi="Times New Roman" w:cs="Times New Roman" w:hint="eastAsia"/>
        </w:rPr>
        <w:t>使用的最近的</w:t>
      </w:r>
      <w:r w:rsidRPr="003A243E">
        <w:rPr>
          <w:rFonts w:ascii="Times New Roman" w:hAnsi="Times New Roman" w:cs="Times New Roman"/>
        </w:rPr>
        <w:t>地铁站</w:t>
      </w:r>
      <w:r>
        <w:rPr>
          <w:rFonts w:ascii="Times New Roman" w:hAnsi="Times New Roman" w:cs="Times New Roman" w:hint="eastAsia"/>
        </w:rPr>
        <w:t>（或轻</w:t>
      </w:r>
      <w:r>
        <w:rPr>
          <w:rFonts w:ascii="Times New Roman" w:hAnsi="Times New Roman" w:cs="Times New Roman" w:hint="eastAsia"/>
        </w:rPr>
        <w:lastRenderedPageBreak/>
        <w:t>轨站）</w:t>
      </w:r>
      <w:r w:rsidRPr="003A243E">
        <w:rPr>
          <w:rFonts w:ascii="Times New Roman" w:hAnsi="Times New Roman" w:cs="Times New Roman"/>
        </w:rPr>
        <w:t>的公里数</w:t>
      </w:r>
      <w:r w:rsidRPr="003A243E">
        <w:rPr>
          <w:rFonts w:ascii="Times New Roman" w:hAnsi="Times New Roman" w:cs="Times New Roman"/>
        </w:rPr>
        <w:t>(</w:t>
      </w:r>
      <w:r w:rsidRPr="003A243E">
        <w:rPr>
          <w:rFonts w:ascii="Times New Roman" w:hAnsi="Times New Roman" w:cs="Times New Roman"/>
          <w:i/>
        </w:rPr>
        <w:t>D_SUBWAY</w:t>
      </w:r>
      <w:r w:rsidRPr="003A243E">
        <w:rPr>
          <w:rFonts w:ascii="Times New Roman" w:hAnsi="Times New Roman" w:cs="Times New Roman"/>
        </w:rPr>
        <w:t>)</w:t>
      </w:r>
      <w:r w:rsidRPr="003A243E">
        <w:rPr>
          <w:rFonts w:ascii="Times New Roman" w:hAnsi="Times New Roman" w:cs="Times New Roman"/>
        </w:rPr>
        <w:t>；</w:t>
      </w:r>
      <w:r>
        <w:rPr>
          <w:rFonts w:ascii="Times New Roman" w:cs="Times New Roman" w:hint="eastAsia"/>
        </w:rPr>
        <w:t>以</w:t>
      </w:r>
      <w:r w:rsidRPr="003A243E">
        <w:rPr>
          <w:rFonts w:ascii="Times New Roman" w:hAnsi="Times New Roman" w:cs="Times New Roman"/>
        </w:rPr>
        <w:t>对数形式</w:t>
      </w:r>
      <w:r>
        <w:rPr>
          <w:rFonts w:ascii="Times New Roman" w:hAnsi="Times New Roman" w:cs="Times New Roman" w:hint="eastAsia"/>
        </w:rPr>
        <w:t>引入特征价格模型</w:t>
      </w:r>
      <w:r w:rsidR="00F0184D">
        <w:rPr>
          <w:rStyle w:val="af"/>
          <w:rFonts w:ascii="Times New Roman" w:hAnsi="Times New Roman" w:cs="Times New Roman"/>
        </w:rPr>
        <w:footnoteReference w:id="5"/>
      </w:r>
      <w:r w:rsidRPr="003A243E">
        <w:rPr>
          <w:rFonts w:ascii="Times New Roman" w:hAnsi="Times New Roman" w:cs="Times New Roman"/>
        </w:rPr>
        <w:t>。</w:t>
      </w:r>
    </w:p>
    <w:p w:rsidR="00641601" w:rsidRPr="003A243E" w:rsidRDefault="00641601" w:rsidP="00FE7D71">
      <w:pPr>
        <w:pStyle w:val="a3"/>
        <w:numPr>
          <w:ilvl w:val="0"/>
          <w:numId w:val="4"/>
        </w:numPr>
        <w:spacing w:beforeLines="50" w:before="156" w:afterLines="50" w:after="156" w:line="360" w:lineRule="auto"/>
        <w:ind w:firstLineChars="0"/>
        <w:rPr>
          <w:rFonts w:ascii="Times New Roman" w:hAnsi="Times New Roman" w:cs="Times New Roman"/>
        </w:rPr>
      </w:pPr>
      <w:r>
        <w:rPr>
          <w:rFonts w:ascii="Times New Roman" w:hAnsi="Times New Roman" w:cs="Times New Roman" w:hint="eastAsia"/>
        </w:rPr>
        <w:t>行政区</w:t>
      </w:r>
      <w:r w:rsidRPr="003A243E">
        <w:rPr>
          <w:rFonts w:ascii="Times New Roman" w:hAnsi="Times New Roman" w:cs="Times New Roman"/>
        </w:rPr>
        <w:t>哑元变量：用于控制前两个变量</w:t>
      </w:r>
      <w:r>
        <w:rPr>
          <w:rFonts w:ascii="Times New Roman" w:hAnsi="Times New Roman" w:cs="Times New Roman" w:hint="eastAsia"/>
        </w:rPr>
        <w:t>无法反映</w:t>
      </w:r>
      <w:r w:rsidRPr="003A243E">
        <w:rPr>
          <w:rFonts w:ascii="Times New Roman" w:hAnsi="Times New Roman" w:cs="Times New Roman"/>
        </w:rPr>
        <w:t>的</w:t>
      </w:r>
      <w:r>
        <w:rPr>
          <w:rFonts w:ascii="Times New Roman" w:hAnsi="Times New Roman" w:cs="Times New Roman" w:hint="eastAsia"/>
        </w:rPr>
        <w:t>其他区位属性</w:t>
      </w:r>
      <w:r w:rsidRPr="003A243E">
        <w:rPr>
          <w:rFonts w:ascii="Times New Roman" w:hAnsi="Times New Roman" w:cs="Times New Roman"/>
        </w:rPr>
        <w:t>；</w:t>
      </w:r>
      <w:r>
        <w:rPr>
          <w:rFonts w:ascii="Times New Roman" w:hAnsi="Times New Roman" w:cs="Times New Roman" w:hint="eastAsia"/>
        </w:rPr>
        <w:t>其</w:t>
      </w:r>
      <w:r>
        <w:rPr>
          <w:rFonts w:ascii="Times New Roman" w:hAnsi="Times New Roman" w:cs="Times New Roman"/>
        </w:rPr>
        <w:t>取值</w:t>
      </w:r>
      <w:r>
        <w:rPr>
          <w:rFonts w:ascii="Times New Roman" w:hAnsi="Times New Roman" w:cs="Times New Roman" w:hint="eastAsia"/>
        </w:rPr>
        <w:t>以</w:t>
      </w:r>
      <w:r>
        <w:rPr>
          <w:rFonts w:ascii="Times New Roman" w:hAnsi="Times New Roman" w:cs="Times New Roman"/>
        </w:rPr>
        <w:t>表</w:t>
      </w:r>
      <w:r>
        <w:rPr>
          <w:rFonts w:ascii="Times New Roman" w:hAnsi="Times New Roman" w:cs="Times New Roman" w:hint="eastAsia"/>
        </w:rPr>
        <w:t>2</w:t>
      </w:r>
      <w:r w:rsidRPr="003A243E">
        <w:rPr>
          <w:rFonts w:ascii="Times New Roman" w:hAnsi="Times New Roman" w:cs="Times New Roman"/>
        </w:rPr>
        <w:t>所示的样本区域</w:t>
      </w:r>
      <w:r>
        <w:rPr>
          <w:rFonts w:ascii="Times New Roman" w:hAnsi="Times New Roman" w:cs="Times New Roman" w:hint="eastAsia"/>
        </w:rPr>
        <w:t>为依据</w:t>
      </w:r>
      <w:r w:rsidRPr="003A243E">
        <w:rPr>
          <w:rFonts w:ascii="Times New Roman" w:hAnsi="Times New Roman" w:cs="Times New Roman"/>
        </w:rPr>
        <w:t>。</w:t>
      </w:r>
    </w:p>
    <w:p w:rsidR="00641601" w:rsidRPr="003A243E" w:rsidRDefault="00641601"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hAnsi="Times New Roman" w:cs="Times New Roman"/>
        </w:rPr>
        <w:t>土地规模：地块的总占地面积（</w:t>
      </w:r>
      <w:r w:rsidRPr="003A243E">
        <w:rPr>
          <w:rFonts w:ascii="Times New Roman" w:hAnsi="Times New Roman" w:cs="Times New Roman"/>
          <w:i/>
        </w:rPr>
        <w:t>SIZE</w:t>
      </w:r>
      <w:r w:rsidRPr="003A243E">
        <w:rPr>
          <w:rFonts w:ascii="Times New Roman" w:hAnsi="Times New Roman" w:cs="Times New Roman"/>
        </w:rPr>
        <w:t>），单位为平方米；</w:t>
      </w:r>
      <w:r>
        <w:rPr>
          <w:rFonts w:ascii="Times New Roman" w:cs="Times New Roman" w:hint="eastAsia"/>
        </w:rPr>
        <w:t>以</w:t>
      </w:r>
      <w:r w:rsidRPr="003A243E">
        <w:rPr>
          <w:rFonts w:ascii="Times New Roman" w:hAnsi="Times New Roman" w:cs="Times New Roman"/>
        </w:rPr>
        <w:t>对数形式</w:t>
      </w:r>
      <w:r>
        <w:rPr>
          <w:rFonts w:ascii="Times New Roman" w:hAnsi="Times New Roman" w:cs="Times New Roman" w:hint="eastAsia"/>
        </w:rPr>
        <w:t>引入特征价格模型</w:t>
      </w:r>
      <w:r w:rsidRPr="003A243E">
        <w:rPr>
          <w:rFonts w:ascii="Times New Roman" w:hAnsi="Times New Roman" w:cs="Times New Roman"/>
        </w:rPr>
        <w:t>。</w:t>
      </w:r>
    </w:p>
    <w:p w:rsidR="00641601" w:rsidRPr="003A243E" w:rsidRDefault="00641601"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hAnsi="Times New Roman" w:cs="Times New Roman"/>
        </w:rPr>
        <w:t>容积率：</w:t>
      </w:r>
      <w:r>
        <w:rPr>
          <w:rFonts w:ascii="Times New Roman" w:hAnsi="Times New Roman" w:cs="Times New Roman" w:hint="eastAsia"/>
        </w:rPr>
        <w:t>地块规划</w:t>
      </w:r>
      <w:r w:rsidRPr="003A243E">
        <w:rPr>
          <w:rFonts w:ascii="Times New Roman" w:hAnsi="Times New Roman" w:cs="Times New Roman"/>
        </w:rPr>
        <w:t>容积率（</w:t>
      </w:r>
      <w:r w:rsidRPr="003A243E">
        <w:rPr>
          <w:rFonts w:ascii="Times New Roman" w:hAnsi="Times New Roman" w:cs="Times New Roman"/>
          <w:i/>
        </w:rPr>
        <w:t>FAR</w:t>
      </w:r>
      <w:r w:rsidRPr="003A243E">
        <w:rPr>
          <w:rFonts w:ascii="Times New Roman" w:hAnsi="Times New Roman" w:cs="Times New Roman"/>
        </w:rPr>
        <w:t>）。</w:t>
      </w:r>
    </w:p>
    <w:p w:rsidR="006537B5" w:rsidRPr="003A243E" w:rsidRDefault="006537B5"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cs="Times New Roman"/>
        </w:rPr>
        <w:t>是否包含商业</w:t>
      </w:r>
      <w:r>
        <w:rPr>
          <w:rFonts w:ascii="Times New Roman" w:cs="Times New Roman" w:hint="eastAsia"/>
        </w:rPr>
        <w:t>用途</w:t>
      </w:r>
      <w:r w:rsidRPr="003A243E">
        <w:rPr>
          <w:rFonts w:ascii="Times New Roman" w:cs="Times New Roman"/>
        </w:rPr>
        <w:t>：某些情况下，</w:t>
      </w:r>
      <w:r>
        <w:rPr>
          <w:rFonts w:ascii="Times New Roman" w:cs="Times New Roman" w:hint="eastAsia"/>
        </w:rPr>
        <w:t>地块除居住用途外还包括商业用途</w:t>
      </w:r>
      <w:r w:rsidR="001D67C0">
        <w:rPr>
          <w:rFonts w:ascii="Times New Roman" w:cs="Times New Roman" w:hint="eastAsia"/>
        </w:rPr>
        <w:t>部分</w:t>
      </w:r>
      <w:r w:rsidRPr="003A243E">
        <w:rPr>
          <w:rFonts w:ascii="Times New Roman" w:cs="Times New Roman"/>
        </w:rPr>
        <w:t>（例如</w:t>
      </w:r>
      <w:r>
        <w:rPr>
          <w:rFonts w:ascii="Times New Roman" w:cs="Times New Roman" w:hint="eastAsia"/>
        </w:rPr>
        <w:t>办公楼、</w:t>
      </w:r>
      <w:r>
        <w:rPr>
          <w:rFonts w:ascii="Times New Roman" w:cs="Times New Roman"/>
        </w:rPr>
        <w:t>零售</w:t>
      </w:r>
      <w:r w:rsidR="001D67C0">
        <w:rPr>
          <w:rFonts w:ascii="Times New Roman" w:cs="Times New Roman" w:hint="eastAsia"/>
        </w:rPr>
        <w:t>物</w:t>
      </w:r>
      <w:r>
        <w:rPr>
          <w:rFonts w:ascii="Times New Roman" w:cs="Times New Roman"/>
        </w:rPr>
        <w:t>业</w:t>
      </w:r>
      <w:r w:rsidR="001D67C0">
        <w:rPr>
          <w:rFonts w:ascii="Times New Roman" w:cs="Times New Roman" w:hint="eastAsia"/>
        </w:rPr>
        <w:t>等</w:t>
      </w:r>
      <w:r>
        <w:rPr>
          <w:rFonts w:ascii="Times New Roman" w:cs="Times New Roman"/>
        </w:rPr>
        <w:t>）</w:t>
      </w:r>
      <w:r>
        <w:rPr>
          <w:rFonts w:ascii="Times New Roman" w:cs="Times New Roman" w:hint="eastAsia"/>
        </w:rPr>
        <w:t>，此时</w:t>
      </w:r>
      <w:r w:rsidRPr="003A243E">
        <w:rPr>
          <w:rFonts w:ascii="Times New Roman" w:cs="Times New Roman"/>
        </w:rPr>
        <w:t>该虚拟变量（</w:t>
      </w:r>
      <w:r w:rsidRPr="003A243E">
        <w:rPr>
          <w:rFonts w:ascii="Times New Roman" w:hAnsi="Times New Roman" w:cs="Times New Roman"/>
          <w:i/>
        </w:rPr>
        <w:t>COMMERCIAL</w:t>
      </w:r>
      <w:r w:rsidRPr="003A243E">
        <w:rPr>
          <w:rFonts w:ascii="Times New Roman" w:cs="Times New Roman"/>
        </w:rPr>
        <w:t>）取值为</w:t>
      </w:r>
      <w:r w:rsidRPr="003A243E">
        <w:rPr>
          <w:rFonts w:ascii="Times New Roman" w:hAnsi="Times New Roman" w:cs="Times New Roman"/>
        </w:rPr>
        <w:t>1</w:t>
      </w:r>
      <w:r w:rsidRPr="003A243E">
        <w:rPr>
          <w:rFonts w:ascii="Times New Roman" w:cs="Times New Roman"/>
        </w:rPr>
        <w:t>，否则取</w:t>
      </w:r>
      <w:r w:rsidRPr="003A243E">
        <w:rPr>
          <w:rFonts w:ascii="Times New Roman" w:hAnsi="Times New Roman" w:cs="Times New Roman"/>
        </w:rPr>
        <w:t>0</w:t>
      </w:r>
      <w:r w:rsidRPr="003A243E">
        <w:rPr>
          <w:rFonts w:ascii="Times New Roman" w:cs="Times New Roman"/>
        </w:rPr>
        <w:t>。</w:t>
      </w:r>
    </w:p>
    <w:p w:rsidR="006537B5" w:rsidRPr="002B7BC8" w:rsidRDefault="006537B5"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cs="Times New Roman"/>
        </w:rPr>
        <w:t>是否配建公共设施：某些情况下，</w:t>
      </w:r>
      <w:r>
        <w:rPr>
          <w:rFonts w:ascii="Times New Roman" w:cs="Times New Roman" w:hint="eastAsia"/>
        </w:rPr>
        <w:t>地块除居住用途外还包括公共服务设施用途</w:t>
      </w:r>
      <w:r w:rsidR="001D67C0">
        <w:rPr>
          <w:rFonts w:ascii="Times New Roman" w:cs="Times New Roman" w:hint="eastAsia"/>
        </w:rPr>
        <w:t>部分</w:t>
      </w:r>
      <w:r>
        <w:rPr>
          <w:rFonts w:ascii="Times New Roman" w:cs="Times New Roman" w:hint="eastAsia"/>
        </w:rPr>
        <w:t>（</w:t>
      </w:r>
      <w:r w:rsidRPr="003A243E">
        <w:rPr>
          <w:rFonts w:ascii="Times New Roman" w:cs="Times New Roman"/>
        </w:rPr>
        <w:t>如学校、医院</w:t>
      </w:r>
      <w:r w:rsidR="001D67C0">
        <w:rPr>
          <w:rFonts w:ascii="Times New Roman" w:cs="Times New Roman" w:hint="eastAsia"/>
        </w:rPr>
        <w:t>等</w:t>
      </w:r>
      <w:r>
        <w:rPr>
          <w:rFonts w:ascii="Times New Roman" w:cs="Times New Roman" w:hint="eastAsia"/>
        </w:rPr>
        <w:t>），此时</w:t>
      </w:r>
      <w:r w:rsidRPr="003A243E">
        <w:rPr>
          <w:rFonts w:ascii="Times New Roman" w:cs="Times New Roman"/>
        </w:rPr>
        <w:t>该虚拟变量（</w:t>
      </w:r>
      <w:r w:rsidRPr="003A243E">
        <w:rPr>
          <w:rFonts w:ascii="Times New Roman" w:hAnsi="Times New Roman" w:cs="Times New Roman"/>
          <w:i/>
        </w:rPr>
        <w:t>PUBLIC</w:t>
      </w:r>
      <w:r w:rsidRPr="003A243E">
        <w:rPr>
          <w:rFonts w:ascii="Times New Roman" w:cs="Times New Roman"/>
        </w:rPr>
        <w:t>）取值为</w:t>
      </w:r>
      <w:r w:rsidRPr="003A243E">
        <w:rPr>
          <w:rFonts w:ascii="Times New Roman" w:hAnsi="Times New Roman" w:cs="Times New Roman"/>
        </w:rPr>
        <w:t>1</w:t>
      </w:r>
      <w:r w:rsidRPr="003A243E">
        <w:rPr>
          <w:rFonts w:ascii="Times New Roman" w:cs="Times New Roman"/>
        </w:rPr>
        <w:t>，否则取</w:t>
      </w:r>
      <w:r w:rsidRPr="003A243E">
        <w:rPr>
          <w:rFonts w:ascii="Times New Roman" w:hAnsi="Times New Roman" w:cs="Times New Roman"/>
        </w:rPr>
        <w:t>0</w:t>
      </w:r>
      <w:r w:rsidRPr="003A243E">
        <w:rPr>
          <w:rFonts w:ascii="Times New Roman" w:cs="Times New Roman"/>
        </w:rPr>
        <w:t>。</w:t>
      </w:r>
    </w:p>
    <w:p w:rsidR="00740DFB" w:rsidRPr="003A243E" w:rsidRDefault="00740DFB" w:rsidP="00FE7D71">
      <w:pPr>
        <w:pStyle w:val="a3"/>
        <w:numPr>
          <w:ilvl w:val="0"/>
          <w:numId w:val="4"/>
        </w:numPr>
        <w:spacing w:beforeLines="50" w:before="156" w:afterLines="50" w:after="156" w:line="360" w:lineRule="auto"/>
        <w:ind w:firstLineChars="0"/>
        <w:rPr>
          <w:rFonts w:ascii="Times New Roman" w:hAnsi="Times New Roman" w:cs="Times New Roman"/>
        </w:rPr>
      </w:pPr>
      <w:r>
        <w:rPr>
          <w:rFonts w:ascii="Times New Roman" w:cs="Times New Roman" w:hint="eastAsia"/>
        </w:rPr>
        <w:t>是否配建</w:t>
      </w:r>
      <w:r>
        <w:rPr>
          <w:rFonts w:ascii="Times New Roman" w:cs="Times New Roman"/>
        </w:rPr>
        <w:t>保障性住房：</w:t>
      </w:r>
      <w:r>
        <w:rPr>
          <w:rFonts w:ascii="Times New Roman" w:cs="Times New Roman" w:hint="eastAsia"/>
        </w:rPr>
        <w:t>部分城市</w:t>
      </w:r>
      <w:r>
        <w:rPr>
          <w:rFonts w:ascii="Times New Roman" w:cs="Times New Roman"/>
        </w:rPr>
        <w:t>（</w:t>
      </w:r>
      <w:r>
        <w:rPr>
          <w:rFonts w:ascii="Times New Roman" w:cs="Times New Roman" w:hint="eastAsia"/>
        </w:rPr>
        <w:t>如</w:t>
      </w:r>
      <w:r>
        <w:rPr>
          <w:rFonts w:ascii="Times New Roman" w:cs="Times New Roman"/>
        </w:rPr>
        <w:t>北京）</w:t>
      </w:r>
      <w:r>
        <w:rPr>
          <w:rFonts w:ascii="Times New Roman" w:cs="Times New Roman" w:hint="eastAsia"/>
        </w:rPr>
        <w:t>出让</w:t>
      </w:r>
      <w:r>
        <w:rPr>
          <w:rFonts w:ascii="Times New Roman" w:cs="Times New Roman"/>
        </w:rPr>
        <w:t>的地块要求</w:t>
      </w:r>
      <w:r>
        <w:rPr>
          <w:rFonts w:ascii="Times New Roman" w:cs="Times New Roman" w:hint="eastAsia"/>
        </w:rPr>
        <w:t>配建</w:t>
      </w:r>
      <w:r>
        <w:rPr>
          <w:rFonts w:ascii="Times New Roman" w:cs="Times New Roman"/>
        </w:rPr>
        <w:t>保障性住房，</w:t>
      </w:r>
      <w:r>
        <w:rPr>
          <w:rFonts w:ascii="Times New Roman" w:cs="Times New Roman" w:hint="eastAsia"/>
        </w:rPr>
        <w:t>此时</w:t>
      </w:r>
      <w:r>
        <w:rPr>
          <w:rFonts w:ascii="Times New Roman" w:cs="Times New Roman"/>
        </w:rPr>
        <w:t>该虚拟变量（</w:t>
      </w:r>
      <w:r w:rsidRPr="00AC2AE0">
        <w:rPr>
          <w:rFonts w:ascii="Times New Roman" w:hAnsi="Times New Roman" w:cs="Times New Roman"/>
          <w:i/>
        </w:rPr>
        <w:t>PUBLIC</w:t>
      </w:r>
      <w:r>
        <w:rPr>
          <w:rFonts w:ascii="Times New Roman" w:hAnsi="Times New Roman" w:cs="Times New Roman"/>
          <w:i/>
        </w:rPr>
        <w:t>HOUSING</w:t>
      </w:r>
      <w:r w:rsidRPr="002B7BC8">
        <w:rPr>
          <w:rFonts w:ascii="Times New Roman" w:hAnsi="Times New Roman" w:cs="Times New Roman" w:hint="eastAsia"/>
        </w:rPr>
        <w:t>）</w:t>
      </w:r>
      <w:r>
        <w:rPr>
          <w:rFonts w:ascii="Times New Roman" w:hAnsi="Times New Roman" w:cs="Times New Roman" w:hint="eastAsia"/>
        </w:rPr>
        <w:t>取值</w:t>
      </w:r>
      <w:r>
        <w:rPr>
          <w:rFonts w:ascii="Times New Roman" w:hAnsi="Times New Roman" w:cs="Times New Roman"/>
        </w:rPr>
        <w:t>为</w:t>
      </w:r>
      <w:r>
        <w:rPr>
          <w:rFonts w:ascii="Times New Roman" w:hAnsi="Times New Roman" w:cs="Times New Roman" w:hint="eastAsia"/>
        </w:rPr>
        <w:t>1</w:t>
      </w:r>
      <w:r>
        <w:rPr>
          <w:rFonts w:ascii="Times New Roman" w:hAnsi="Times New Roman" w:cs="Times New Roman" w:hint="eastAsia"/>
        </w:rPr>
        <w:t>，</w:t>
      </w:r>
      <w:r>
        <w:rPr>
          <w:rFonts w:ascii="Times New Roman" w:hAnsi="Times New Roman" w:cs="Times New Roman"/>
        </w:rPr>
        <w:t>否则为</w:t>
      </w:r>
      <w:r>
        <w:rPr>
          <w:rFonts w:ascii="Times New Roman" w:hAnsi="Times New Roman" w:cs="Times New Roman" w:hint="eastAsia"/>
        </w:rPr>
        <w:t>0</w:t>
      </w:r>
      <w:r>
        <w:rPr>
          <w:rFonts w:ascii="Times New Roman" w:hAnsi="Times New Roman" w:cs="Times New Roman" w:hint="eastAsia"/>
        </w:rPr>
        <w:t>。</w:t>
      </w:r>
    </w:p>
    <w:p w:rsidR="005217AE" w:rsidRPr="003A243E" w:rsidRDefault="005217AE" w:rsidP="00FE7D71">
      <w:pPr>
        <w:pStyle w:val="a3"/>
        <w:numPr>
          <w:ilvl w:val="0"/>
          <w:numId w:val="4"/>
        </w:numPr>
        <w:spacing w:beforeLines="50" w:before="156" w:afterLines="50" w:after="156" w:line="360" w:lineRule="auto"/>
        <w:ind w:firstLineChars="0"/>
        <w:rPr>
          <w:rFonts w:ascii="Times New Roman" w:hAnsi="Times New Roman" w:cs="Times New Roman"/>
        </w:rPr>
      </w:pPr>
      <w:r w:rsidRPr="003A243E">
        <w:rPr>
          <w:rFonts w:ascii="Times New Roman" w:cs="Times New Roman"/>
        </w:rPr>
        <w:t>成交日期：</w:t>
      </w:r>
      <w:r w:rsidR="006537B5">
        <w:rPr>
          <w:rFonts w:ascii="Times New Roman" w:cs="Times New Roman" w:hint="eastAsia"/>
        </w:rPr>
        <w:t>地块的</w:t>
      </w:r>
      <w:r w:rsidRPr="003A243E">
        <w:rPr>
          <w:rFonts w:ascii="Times New Roman" w:cs="Times New Roman"/>
        </w:rPr>
        <w:t>成交日期；</w:t>
      </w:r>
      <w:r w:rsidR="006537B5">
        <w:rPr>
          <w:rFonts w:ascii="Times New Roman" w:cs="Times New Roman" w:hint="eastAsia"/>
        </w:rPr>
        <w:t>该因素以</w:t>
      </w:r>
      <w:r w:rsidRPr="003A243E">
        <w:rPr>
          <w:rFonts w:ascii="Times New Roman" w:cs="Times New Roman"/>
        </w:rPr>
        <w:t>时间哑元</w:t>
      </w:r>
      <w:r w:rsidR="006537B5">
        <w:rPr>
          <w:rFonts w:ascii="Times New Roman" w:cs="Times New Roman" w:hint="eastAsia"/>
        </w:rPr>
        <w:t>变量形式引入特征价格模型，其系数构成了计算同质性</w:t>
      </w:r>
      <w:r w:rsidR="00766813" w:rsidRPr="003A243E">
        <w:rPr>
          <w:rFonts w:ascii="Times New Roman" w:cs="Times New Roman"/>
        </w:rPr>
        <w:t>价格指数的基础。</w:t>
      </w:r>
      <w:r w:rsidR="00004119">
        <w:rPr>
          <w:rStyle w:val="af"/>
          <w:rFonts w:ascii="Times New Roman" w:hAnsi="Times New Roman" w:cs="Times New Roman"/>
        </w:rPr>
        <w:footnoteReference w:id="6"/>
      </w:r>
    </w:p>
    <w:p w:rsidR="00766813" w:rsidRPr="005B5B65" w:rsidRDefault="006537B5" w:rsidP="00FE7D71">
      <w:pPr>
        <w:pStyle w:val="a3"/>
        <w:numPr>
          <w:ilvl w:val="0"/>
          <w:numId w:val="3"/>
        </w:numPr>
        <w:spacing w:beforeLines="50" w:before="156" w:afterLines="50" w:after="156" w:line="360" w:lineRule="auto"/>
        <w:ind w:firstLineChars="0"/>
        <w:rPr>
          <w:rFonts w:ascii="Times New Roman" w:cs="Times New Roman"/>
          <w:b/>
        </w:rPr>
      </w:pPr>
      <w:r>
        <w:rPr>
          <w:rFonts w:ascii="Times New Roman" w:cs="Times New Roman" w:hint="eastAsia"/>
          <w:b/>
        </w:rPr>
        <w:t>指数的编制</w:t>
      </w:r>
    </w:p>
    <w:p w:rsidR="0091168E" w:rsidRDefault="0091168E"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CRLPI</w:t>
      </w:r>
      <w:r>
        <w:rPr>
          <w:rFonts w:ascii="Times New Roman" w:cs="Times New Roman" w:hint="eastAsia"/>
        </w:rPr>
        <w:t>指数采用特征价格法（</w:t>
      </w:r>
      <w:r>
        <w:rPr>
          <w:rFonts w:ascii="Times New Roman" w:cs="Times New Roman" w:hint="eastAsia"/>
        </w:rPr>
        <w:t>hedonic method</w:t>
      </w:r>
      <w:r>
        <w:rPr>
          <w:rFonts w:ascii="Times New Roman" w:cs="Times New Roman" w:hint="eastAsia"/>
        </w:rPr>
        <w:t>）进行编制</w:t>
      </w:r>
      <w:r w:rsidR="00004119">
        <w:rPr>
          <w:rStyle w:val="af"/>
          <w:rFonts w:ascii="Times New Roman" w:hAnsi="Times New Roman" w:cs="Times New Roman"/>
        </w:rPr>
        <w:footnoteReference w:id="7"/>
      </w:r>
      <w:r>
        <w:rPr>
          <w:rFonts w:ascii="Times New Roman" w:cs="Times New Roman" w:hint="eastAsia"/>
        </w:rPr>
        <w:t>。</w:t>
      </w:r>
    </w:p>
    <w:p w:rsidR="00F93527" w:rsidRPr="00E81937" w:rsidRDefault="0091168E"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在</w:t>
      </w:r>
      <w:r w:rsidR="001D67C0">
        <w:rPr>
          <w:rFonts w:ascii="Times New Roman" w:cs="Times New Roman" w:hint="eastAsia"/>
        </w:rPr>
        <w:t>计算</w:t>
      </w:r>
      <w:r>
        <w:rPr>
          <w:rFonts w:ascii="Times New Roman" w:cs="Times New Roman" w:hint="eastAsia"/>
        </w:rPr>
        <w:t>城市层面</w:t>
      </w:r>
      <w:r w:rsidR="001D67C0">
        <w:rPr>
          <w:rFonts w:ascii="Times New Roman" w:cs="Times New Roman" w:hint="eastAsia"/>
        </w:rPr>
        <w:t>指数时，每个城市单独</w:t>
      </w:r>
      <w:r>
        <w:rPr>
          <w:rFonts w:ascii="Times New Roman" w:cs="Times New Roman" w:hint="eastAsia"/>
        </w:rPr>
        <w:t>建立特征价格模型</w:t>
      </w:r>
      <w:r w:rsidR="006A044D">
        <w:rPr>
          <w:rFonts w:ascii="Times New Roman" w:cs="Times New Roman" w:hint="eastAsia"/>
        </w:rPr>
        <w:t>（一次性建模形式）</w:t>
      </w:r>
      <w:r>
        <w:rPr>
          <w:rFonts w:ascii="Times New Roman" w:cs="Times New Roman" w:hint="eastAsia"/>
        </w:rPr>
        <w:t>，并采用普通最小二乘法进行估计。模型形式如式（</w:t>
      </w:r>
      <w:r>
        <w:rPr>
          <w:rFonts w:ascii="Times New Roman" w:cs="Times New Roman" w:hint="eastAsia"/>
        </w:rPr>
        <w:t>1</w:t>
      </w:r>
      <w:r>
        <w:rPr>
          <w:rFonts w:ascii="Times New Roman" w:cs="Times New Roman" w:hint="eastAsia"/>
        </w:rPr>
        <w:t>）所示，每宗地块的权重相等，以</w:t>
      </w:r>
      <w:r w:rsidR="00F93527" w:rsidRPr="00E81937">
        <w:rPr>
          <w:rFonts w:ascii="Times New Roman" w:cs="Times New Roman"/>
        </w:rPr>
        <w:t>下标</w:t>
      </w:r>
      <w:r w:rsidR="00F93527" w:rsidRPr="006537B5">
        <w:rPr>
          <w:rFonts w:ascii="Times New Roman" w:cs="Times New Roman"/>
          <w:i/>
        </w:rPr>
        <w:t>i</w:t>
      </w:r>
      <w:r w:rsidR="00F93527" w:rsidRPr="00E81937">
        <w:rPr>
          <w:rFonts w:ascii="Times New Roman" w:cs="Times New Roman"/>
        </w:rPr>
        <w:t>表示。</w:t>
      </w:r>
    </w:p>
    <w:p w:rsidR="00766813" w:rsidRPr="003A243E" w:rsidRDefault="006D6425" w:rsidP="00FE7D71">
      <w:pPr>
        <w:spacing w:beforeLines="50" w:before="156" w:afterLines="50" w:after="156" w:line="360" w:lineRule="auto"/>
        <w:ind w:firstLineChars="171" w:firstLine="410"/>
        <w:jc w:val="right"/>
        <w:rPr>
          <w:rFonts w:ascii="Times New Roman" w:hAnsi="Times New Roman" w:cs="Times New Roman"/>
        </w:rPr>
      </w:pPr>
      <m:oMath>
        <m:func>
          <m:funcPr>
            <m:ctrlPr>
              <w:rPr>
                <w:rFonts w:ascii="Cambria Math" w:eastAsia="宋体" w:hAnsi="Times New Roman" w:cs="Times New Roman"/>
                <w:sz w:val="24"/>
                <w:szCs w:val="24"/>
              </w:rPr>
            </m:ctrlPr>
          </m:funcPr>
          <m:fName>
            <m:r>
              <m:rPr>
                <m:sty m:val="p"/>
              </m:rPr>
              <w:rPr>
                <w:rFonts w:ascii="Cambria Math" w:hAnsi="Times New Roman" w:cs="Times New Roman"/>
              </w:rPr>
              <m:t>ln</m:t>
            </m:r>
          </m:fName>
          <m:e>
            <m:d>
              <m:dPr>
                <m:ctrlPr>
                  <w:rPr>
                    <w:rFonts w:ascii="Cambria Math" w:eastAsia="宋体" w:hAnsi="Times New Roman" w:cs="Times New Roman"/>
                    <w:sz w:val="24"/>
                    <w:szCs w:val="24"/>
                  </w:rPr>
                </m:ctrlPr>
              </m:dPr>
              <m:e>
                <m:sSub>
                  <m:sSubPr>
                    <m:ctrlPr>
                      <w:rPr>
                        <w:rFonts w:ascii="Cambria Math" w:eastAsia="宋体" w:hAnsi="Times New Roman" w:cs="Times New Roman"/>
                        <w:i/>
                        <w:sz w:val="24"/>
                        <w:szCs w:val="24"/>
                      </w:rPr>
                    </m:ctrlPr>
                  </m:sSubPr>
                  <m:e>
                    <m:r>
                      <w:rPr>
                        <w:rFonts w:ascii="Cambria Math" w:hAnsi="Cambria Math" w:cs="Times New Roman"/>
                      </w:rPr>
                      <m:t>LP</m:t>
                    </m:r>
                  </m:e>
                  <m:sub>
                    <m:r>
                      <w:rPr>
                        <w:rFonts w:ascii="Cambria Math" w:hAnsi="Cambria Math" w:cs="Times New Roman"/>
                      </w:rPr>
                      <m:t>i</m:t>
                    </m:r>
                  </m:sub>
                </m:sSub>
              </m:e>
            </m:d>
          </m:e>
        </m:func>
        <m:r>
          <m:rPr>
            <m:sty m:val="p"/>
          </m:rPr>
          <w:rPr>
            <w:rFonts w:ascii="Cambria Math" w:hAnsi="Times New Roman" w:cs="Times New Roman"/>
          </w:rPr>
          <m:t>=</m:t>
        </m:r>
        <m:sSub>
          <m:sSubPr>
            <m:ctrlPr>
              <w:rPr>
                <w:rFonts w:ascii="Cambria Math" w:eastAsia="宋体" w:hAnsi="Times New Roman" w:cs="Times New Roman"/>
                <w:sz w:val="24"/>
                <w:szCs w:val="24"/>
              </w:rPr>
            </m:ctrlPr>
          </m:sSubPr>
          <m:e>
            <m:r>
              <w:rPr>
                <w:rFonts w:ascii="Cambria Math" w:hAnsi="Cambria Math" w:cs="Times New Roman"/>
              </w:rPr>
              <m:t>X</m:t>
            </m:r>
          </m:e>
          <m:sub>
            <m:r>
              <w:rPr>
                <w:rFonts w:ascii="Cambria Math" w:hAnsi="Cambria Math" w:cs="Times New Roman"/>
              </w:rPr>
              <m:t>i</m:t>
            </m:r>
          </m:sub>
        </m:sSub>
        <m:r>
          <w:rPr>
            <w:rFonts w:ascii="Cambria Math" w:hAnsi="Cambria Math" w:cs="Times New Roman"/>
          </w:rPr>
          <m:t>α</m:t>
        </m:r>
        <m:r>
          <w:rPr>
            <w:rFonts w:ascii="Cambria Math" w:hAnsi="Times New Roman" w:cs="Times New Roman"/>
          </w:rPr>
          <m:t>+</m:t>
        </m:r>
        <m:nary>
          <m:naryPr>
            <m:chr m:val="∑"/>
            <m:limLoc m:val="undOvr"/>
            <m:supHide m:val="1"/>
            <m:ctrlPr>
              <w:rPr>
                <w:rFonts w:ascii="Cambria Math" w:eastAsia="宋体" w:hAnsi="Times New Roman" w:cs="Times New Roman"/>
                <w:i/>
                <w:sz w:val="24"/>
                <w:szCs w:val="24"/>
              </w:rPr>
            </m:ctrlPr>
          </m:naryPr>
          <m:sub>
            <m:r>
              <w:rPr>
                <w:rFonts w:ascii="Cambria Math" w:hAnsi="Cambria Math" w:cs="Times New Roman"/>
              </w:rPr>
              <m:t>t</m:t>
            </m:r>
          </m:sub>
          <m:sup/>
          <m:e>
            <m:sSub>
              <m:sSubPr>
                <m:ctrlPr>
                  <w:rPr>
                    <w:rFonts w:ascii="Cambria Math" w:eastAsia="宋体" w:hAnsi="Times New Roman" w:cs="Times New Roman"/>
                    <w:i/>
                    <w:sz w:val="24"/>
                    <w:szCs w:val="24"/>
                  </w:rPr>
                </m:ctrlPr>
              </m:sSubPr>
              <m:e>
                <m:r>
                  <w:rPr>
                    <w:rFonts w:ascii="Cambria Math" w:hAnsi="Cambria Math" w:cs="Times New Roman"/>
                  </w:rPr>
                  <m:t>β</m:t>
                </m:r>
              </m:e>
              <m:sub>
                <m:r>
                  <w:rPr>
                    <w:rFonts w:ascii="Cambria Math" w:hAnsi="Cambria Math" w:cs="Times New Roman"/>
                  </w:rPr>
                  <m:t>t</m:t>
                </m:r>
              </m:sub>
            </m:sSub>
            <m:sSub>
              <m:sSubPr>
                <m:ctrlPr>
                  <w:rPr>
                    <w:rFonts w:ascii="Cambria Math" w:eastAsia="宋体" w:hAnsi="Times New Roman" w:cs="Times New Roman"/>
                    <w:i/>
                    <w:sz w:val="24"/>
                    <w:szCs w:val="24"/>
                  </w:rPr>
                </m:ctrlPr>
              </m:sSubPr>
              <m:e>
                <m:r>
                  <w:rPr>
                    <w:rFonts w:ascii="Cambria Math" w:hAnsi="Cambria Math" w:cs="Times New Roman"/>
                  </w:rPr>
                  <m:t>D</m:t>
                </m:r>
              </m:e>
              <m:sub>
                <m:r>
                  <w:rPr>
                    <w:rFonts w:ascii="Cambria Math" w:hAnsi="Cambria Math" w:cs="Times New Roman"/>
                  </w:rPr>
                  <m:t>it</m:t>
                </m:r>
              </m:sub>
            </m:sSub>
          </m:e>
        </m:nary>
        <m:r>
          <w:rPr>
            <w:rFonts w:ascii="Cambria Math" w:hAnsi="Times New Roman" w:cs="Times New Roman"/>
          </w:rPr>
          <m:t>+</m:t>
        </m:r>
        <m:sSub>
          <m:sSubPr>
            <m:ctrlPr>
              <w:rPr>
                <w:rFonts w:ascii="Cambria Math" w:eastAsia="宋体" w:hAnsi="Times New Roman" w:cs="Times New Roman"/>
                <w:i/>
                <w:sz w:val="24"/>
                <w:szCs w:val="24"/>
              </w:rPr>
            </m:ctrlPr>
          </m:sSubPr>
          <m:e>
            <m:r>
              <w:rPr>
                <w:rFonts w:ascii="Cambria Math" w:hAnsi="Cambria Math" w:cs="Times New Roman"/>
              </w:rPr>
              <m:t>ε</m:t>
            </m:r>
          </m:e>
          <m:sub>
            <m:r>
              <w:rPr>
                <w:rFonts w:ascii="Cambria Math" w:hAnsi="Cambria Math" w:cs="Times New Roman"/>
              </w:rPr>
              <m:t>i</m:t>
            </m:r>
          </m:sub>
        </m:sSub>
      </m:oMath>
      <w:r w:rsidR="00901E70" w:rsidRPr="003A243E">
        <w:rPr>
          <w:rFonts w:ascii="Times New Roman" w:hAnsi="Times New Roman" w:cs="Times New Roman"/>
          <w:sz w:val="24"/>
          <w:szCs w:val="24"/>
        </w:rPr>
        <w:t xml:space="preserve">                   (1)</w:t>
      </w:r>
    </w:p>
    <w:p w:rsidR="00F93527" w:rsidRPr="003A243E" w:rsidRDefault="0091168E" w:rsidP="00FE7D71">
      <w:pPr>
        <w:spacing w:beforeLines="50" w:before="156" w:afterLines="50" w:after="156" w:line="360" w:lineRule="auto"/>
        <w:rPr>
          <w:rFonts w:ascii="Times New Roman" w:eastAsia="宋体" w:hAnsi="Times New Roman" w:cs="Times New Roman"/>
        </w:rPr>
      </w:pPr>
      <w:r>
        <w:rPr>
          <w:rFonts w:ascii="Times New Roman" w:cs="Times New Roman" w:hint="eastAsia"/>
        </w:rPr>
        <w:t>其中：</w:t>
      </w:r>
      <w:r w:rsidR="00901E70" w:rsidRPr="003A243E">
        <w:rPr>
          <w:rFonts w:ascii="Times New Roman" w:hAnsi="Times New Roman" w:cs="Times New Roman"/>
          <w:i/>
        </w:rPr>
        <w:t>LP</w:t>
      </w:r>
      <w:r w:rsidR="00901E70" w:rsidRPr="003A243E">
        <w:rPr>
          <w:rFonts w:ascii="Times New Roman" w:cs="Times New Roman"/>
        </w:rPr>
        <w:t>代表</w:t>
      </w:r>
      <w:r>
        <w:rPr>
          <w:rFonts w:ascii="Times New Roman" w:cs="Times New Roman" w:hint="eastAsia"/>
        </w:rPr>
        <w:t>地块</w:t>
      </w:r>
      <w:r w:rsidR="00901E70" w:rsidRPr="003A243E">
        <w:rPr>
          <w:rFonts w:ascii="Times New Roman" w:cs="Times New Roman"/>
        </w:rPr>
        <w:t>交易价格</w:t>
      </w:r>
      <w:r>
        <w:rPr>
          <w:rFonts w:ascii="Times New Roman" w:cs="Times New Roman" w:hint="eastAsia"/>
        </w:rPr>
        <w:t>（楼面地价）；向</w:t>
      </w:r>
      <w:r w:rsidR="00901E70" w:rsidRPr="003A243E">
        <w:rPr>
          <w:rFonts w:ascii="Times New Roman" w:cs="Times New Roman"/>
        </w:rPr>
        <w:t>量</w:t>
      </w:r>
      <m:oMath>
        <m:r>
          <m:rPr>
            <m:sty m:val="p"/>
          </m:rPr>
          <w:rPr>
            <w:rFonts w:ascii="Cambria Math" w:hAnsi="Times New Roman" w:cs="Times New Roman"/>
          </w:rPr>
          <m:t>α</m:t>
        </m:r>
      </m:oMath>
      <w:r w:rsidR="00901E70" w:rsidRPr="003A243E">
        <w:rPr>
          <w:rFonts w:ascii="Times New Roman" w:cs="Times New Roman"/>
        </w:rPr>
        <w:t>表示上述</w:t>
      </w:r>
      <w:r w:rsidR="00311F8B" w:rsidRPr="003A243E">
        <w:rPr>
          <w:rFonts w:ascii="Times New Roman" w:hAnsi="Times New Roman" w:cs="Times New Roman"/>
        </w:rPr>
        <w:t>ln(</w:t>
      </w:r>
      <w:r w:rsidR="00311F8B" w:rsidRPr="003A243E">
        <w:rPr>
          <w:rFonts w:ascii="Times New Roman" w:hAnsi="Times New Roman" w:cs="Times New Roman"/>
          <w:i/>
        </w:rPr>
        <w:t>D_CENTER</w:t>
      </w:r>
      <w:r w:rsidR="00311F8B" w:rsidRPr="003A243E">
        <w:rPr>
          <w:rFonts w:ascii="Times New Roman" w:hAnsi="Times New Roman" w:cs="Times New Roman"/>
        </w:rPr>
        <w:t>)</w:t>
      </w:r>
      <w:r w:rsidR="00311F8B" w:rsidRPr="003A243E">
        <w:rPr>
          <w:rFonts w:ascii="Times New Roman" w:hAnsi="Times New Roman" w:cs="Times New Roman"/>
        </w:rPr>
        <w:t>、</w:t>
      </w:r>
      <w:r w:rsidR="00311F8B" w:rsidRPr="003A243E">
        <w:rPr>
          <w:rFonts w:ascii="Times New Roman" w:hAnsi="Times New Roman" w:cs="Times New Roman"/>
        </w:rPr>
        <w:t>ln(</w:t>
      </w:r>
      <w:r w:rsidR="00311F8B" w:rsidRPr="003A243E">
        <w:rPr>
          <w:rFonts w:ascii="Times New Roman" w:hAnsi="Times New Roman" w:cs="Times New Roman"/>
          <w:i/>
        </w:rPr>
        <w:t>D_SUBWAY</w:t>
      </w:r>
      <w:r w:rsidR="00311F8B" w:rsidRPr="003A243E">
        <w:rPr>
          <w:rFonts w:ascii="Times New Roman" w:hAnsi="Times New Roman" w:cs="Times New Roman"/>
        </w:rPr>
        <w:t>)</w:t>
      </w:r>
      <w:r w:rsidR="00311F8B" w:rsidRPr="003A243E">
        <w:rPr>
          <w:rFonts w:ascii="Times New Roman" w:hAnsi="Times New Roman" w:cs="Times New Roman"/>
        </w:rPr>
        <w:t>、</w:t>
      </w:r>
      <w:r w:rsidR="00311F8B" w:rsidRPr="003A243E">
        <w:rPr>
          <w:rFonts w:ascii="Times New Roman" w:hAnsi="Times New Roman" w:cs="Times New Roman"/>
        </w:rPr>
        <w:t>ln(</w:t>
      </w:r>
      <w:r w:rsidR="00311F8B" w:rsidRPr="003A243E">
        <w:rPr>
          <w:rFonts w:ascii="Times New Roman" w:hAnsi="Times New Roman" w:cs="Times New Roman"/>
          <w:i/>
        </w:rPr>
        <w:t>SIZE</w:t>
      </w:r>
      <w:r w:rsidR="00311F8B" w:rsidRPr="003A243E">
        <w:rPr>
          <w:rFonts w:ascii="Times New Roman" w:hAnsi="Times New Roman" w:cs="Times New Roman"/>
        </w:rPr>
        <w:t>)</w:t>
      </w:r>
      <w:r w:rsidR="00311F8B" w:rsidRPr="003A243E">
        <w:rPr>
          <w:rFonts w:ascii="Times New Roman" w:hAnsi="Times New Roman" w:cs="Times New Roman"/>
        </w:rPr>
        <w:t>、</w:t>
      </w:r>
      <w:r w:rsidR="00311F8B" w:rsidRPr="003A243E">
        <w:rPr>
          <w:rFonts w:ascii="Times New Roman" w:hAnsi="Times New Roman" w:cs="Times New Roman"/>
          <w:i/>
        </w:rPr>
        <w:t>FAR</w:t>
      </w:r>
      <w:r w:rsidR="00311F8B" w:rsidRPr="003A243E">
        <w:rPr>
          <w:rFonts w:ascii="Times New Roman" w:hAnsi="Times New Roman" w:cs="Times New Roman"/>
          <w:i/>
        </w:rPr>
        <w:t>、</w:t>
      </w:r>
      <w:r w:rsidR="00311F8B" w:rsidRPr="003A243E">
        <w:rPr>
          <w:rFonts w:ascii="Times New Roman" w:hAnsi="Times New Roman" w:cs="Times New Roman"/>
          <w:i/>
        </w:rPr>
        <w:t>COMMERCIAL</w:t>
      </w:r>
      <w:r w:rsidR="00311F8B" w:rsidRPr="003A243E">
        <w:rPr>
          <w:rFonts w:ascii="Times New Roman" w:hAnsi="Times New Roman" w:cs="Times New Roman"/>
          <w:i/>
        </w:rPr>
        <w:t>、</w:t>
      </w:r>
      <w:r w:rsidR="00311F8B" w:rsidRPr="003A243E">
        <w:rPr>
          <w:rFonts w:ascii="Times New Roman" w:hAnsi="Times New Roman" w:cs="Times New Roman"/>
          <w:i/>
        </w:rPr>
        <w:t>PUBLIC</w:t>
      </w:r>
      <w:r w:rsidR="00311F8B" w:rsidRPr="003A243E">
        <w:rPr>
          <w:rFonts w:ascii="Times New Roman" w:hAnsi="Times New Roman" w:cs="Times New Roman"/>
          <w:i/>
        </w:rPr>
        <w:t>、</w:t>
      </w:r>
      <w:r w:rsidR="00740DFB" w:rsidRPr="00AC2AE0">
        <w:rPr>
          <w:rFonts w:ascii="Times New Roman" w:hAnsi="Times New Roman" w:cs="Times New Roman"/>
          <w:i/>
        </w:rPr>
        <w:t>PUBLIC</w:t>
      </w:r>
      <w:r w:rsidR="00740DFB">
        <w:rPr>
          <w:rFonts w:ascii="Times New Roman" w:hAnsi="Times New Roman" w:cs="Times New Roman"/>
          <w:i/>
        </w:rPr>
        <w:t>HOUSING</w:t>
      </w:r>
      <w:r w:rsidR="00740DFB">
        <w:rPr>
          <w:rFonts w:ascii="Times New Roman" w:hAnsi="Times New Roman" w:cs="Times New Roman" w:hint="eastAsia"/>
          <w:i/>
        </w:rPr>
        <w:t>、</w:t>
      </w:r>
      <w:r w:rsidR="00311F8B" w:rsidRPr="003A243E">
        <w:rPr>
          <w:rFonts w:ascii="Times New Roman" w:hAnsi="Times New Roman" w:cs="Times New Roman"/>
        </w:rPr>
        <w:t>区域哑元等</w:t>
      </w:r>
      <w:r>
        <w:rPr>
          <w:rFonts w:ascii="Times New Roman" w:hAnsi="Times New Roman" w:cs="Times New Roman" w:hint="eastAsia"/>
        </w:rPr>
        <w:t>地块</w:t>
      </w:r>
      <w:r w:rsidR="00901E70" w:rsidRPr="003A243E">
        <w:rPr>
          <w:rFonts w:ascii="Times New Roman" w:hAnsi="Times New Roman" w:cs="Times New Roman"/>
        </w:rPr>
        <w:t>特征属性</w:t>
      </w:r>
      <w:r w:rsidR="00901E70" w:rsidRPr="0091168E">
        <w:rPr>
          <w:rFonts w:ascii="Times New Roman" w:hAnsi="Times New Roman" w:cs="Times New Roman"/>
          <w:i/>
        </w:rPr>
        <w:t>X</w:t>
      </w:r>
      <w:r w:rsidR="00311F8B" w:rsidRPr="003A243E">
        <w:rPr>
          <w:rFonts w:ascii="Times New Roman" w:hAnsi="Times New Roman" w:cs="Times New Roman"/>
        </w:rPr>
        <w:lastRenderedPageBreak/>
        <w:t>的系数</w:t>
      </w:r>
      <w:r>
        <w:rPr>
          <w:rFonts w:ascii="Times New Roman" w:hAnsi="Times New Roman" w:cs="Times New Roman" w:hint="eastAsia"/>
        </w:rPr>
        <w:t>（</w:t>
      </w:r>
      <w:r w:rsidR="001D67C0">
        <w:rPr>
          <w:rFonts w:ascii="Times New Roman" w:hAnsi="Times New Roman" w:cs="Times New Roman" w:hint="eastAsia"/>
        </w:rPr>
        <w:t>这里</w:t>
      </w:r>
      <w:r>
        <w:rPr>
          <w:rFonts w:ascii="Times New Roman" w:hAnsi="Times New Roman" w:cs="Times New Roman" w:hint="eastAsia"/>
        </w:rPr>
        <w:t>假设</w:t>
      </w:r>
      <w:r>
        <w:rPr>
          <w:rFonts w:ascii="Times New Roman" w:hAnsi="Times New Roman" w:cs="Times New Roman"/>
        </w:rPr>
        <w:t>地块属性的</w:t>
      </w:r>
      <w:r w:rsidR="001D67C0">
        <w:rPr>
          <w:rFonts w:ascii="Times New Roman" w:hAnsi="Times New Roman" w:cs="Times New Roman" w:hint="eastAsia"/>
        </w:rPr>
        <w:t>系数</w:t>
      </w:r>
      <w:r w:rsidR="0023423D" w:rsidRPr="003A243E">
        <w:rPr>
          <w:rFonts w:ascii="Times New Roman" w:hAnsi="Times New Roman" w:cs="Times New Roman"/>
        </w:rPr>
        <w:t>不随时间发生变化</w:t>
      </w:r>
      <w:r>
        <w:rPr>
          <w:rFonts w:ascii="Times New Roman" w:hAnsi="Times New Roman" w:cs="Times New Roman" w:hint="eastAsia"/>
        </w:rPr>
        <w:t>）；</w:t>
      </w:r>
      <w:r w:rsidR="00311F8B" w:rsidRPr="003A243E">
        <w:rPr>
          <w:rFonts w:ascii="Times New Roman" w:hAnsi="Times New Roman" w:cs="Times New Roman"/>
        </w:rPr>
        <w:t>向量</w:t>
      </w:r>
      <w:r w:rsidR="00311F8B" w:rsidRPr="003A243E">
        <w:rPr>
          <w:rFonts w:ascii="Times New Roman" w:hAnsi="Times New Roman" w:cs="Times New Roman"/>
          <w:i/>
        </w:rPr>
        <w:t>D</w:t>
      </w:r>
      <w:r w:rsidR="00311F8B" w:rsidRPr="003A243E">
        <w:rPr>
          <w:rFonts w:ascii="Times New Roman" w:hAnsi="Times New Roman" w:cs="Times New Roman"/>
        </w:rPr>
        <w:t>表示年份虚拟变量，土地在该年成交取</w:t>
      </w:r>
      <w:r w:rsidR="00311F8B" w:rsidRPr="003A243E">
        <w:rPr>
          <w:rFonts w:ascii="Times New Roman" w:hAnsi="Times New Roman" w:cs="Times New Roman"/>
        </w:rPr>
        <w:t>1</w:t>
      </w:r>
      <w:r w:rsidR="00311F8B" w:rsidRPr="003A243E">
        <w:rPr>
          <w:rFonts w:ascii="Times New Roman" w:hAnsi="Times New Roman" w:cs="Times New Roman"/>
        </w:rPr>
        <w:t>，否则取</w:t>
      </w:r>
      <w:r w:rsidR="00311F8B" w:rsidRPr="003A243E">
        <w:rPr>
          <w:rFonts w:ascii="Times New Roman" w:hAnsi="Times New Roman" w:cs="Times New Roman"/>
        </w:rPr>
        <w:t>0</w:t>
      </w:r>
      <w:r w:rsidR="00B61145" w:rsidRPr="003A243E">
        <w:rPr>
          <w:rFonts w:ascii="Times New Roman" w:hAnsi="Times New Roman" w:cs="Times New Roman"/>
        </w:rPr>
        <w:t>，</w:t>
      </w:r>
      <w:r w:rsidR="00311F8B" w:rsidRPr="003A243E">
        <w:rPr>
          <w:rFonts w:ascii="Times New Roman" w:hAnsi="Times New Roman" w:cs="Times New Roman"/>
          <w:i/>
        </w:rPr>
        <w:t>β</w:t>
      </w:r>
      <w:r w:rsidR="001D6C3F" w:rsidRPr="003A243E">
        <w:rPr>
          <w:rFonts w:ascii="Times New Roman" w:hAnsi="Times New Roman" w:cs="Times New Roman"/>
        </w:rPr>
        <w:t>为相应的</w:t>
      </w:r>
      <w:r>
        <w:rPr>
          <w:rFonts w:ascii="Times New Roman" w:hAnsi="Times New Roman" w:cs="Times New Roman" w:hint="eastAsia"/>
        </w:rPr>
        <w:t>时间哑元</w:t>
      </w:r>
      <w:r w:rsidR="001D6C3F" w:rsidRPr="003A243E">
        <w:rPr>
          <w:rFonts w:ascii="Times New Roman" w:hAnsi="Times New Roman" w:cs="Times New Roman"/>
        </w:rPr>
        <w:t>系数</w:t>
      </w:r>
      <w:r>
        <w:rPr>
          <w:rFonts w:ascii="Times New Roman" w:hAnsi="Times New Roman" w:cs="Times New Roman" w:hint="eastAsia"/>
        </w:rPr>
        <w:t>；</w:t>
      </w:r>
      <w:r w:rsidR="00B61145" w:rsidRPr="003A243E">
        <w:rPr>
          <w:rFonts w:ascii="Times New Roman" w:hAnsi="Times New Roman" w:cs="Times New Roman"/>
        </w:rPr>
        <w:t>标准误差项用</w:t>
      </w:r>
      <w:r w:rsidR="00B61145" w:rsidRPr="003A243E">
        <w:rPr>
          <w:rFonts w:ascii="Times New Roman" w:eastAsia="宋体" w:hAnsi="Times New Roman" w:cs="Times New Roman"/>
          <w:i/>
        </w:rPr>
        <w:t>ε</w:t>
      </w:r>
      <w:r w:rsidR="00B61145" w:rsidRPr="003A243E">
        <w:rPr>
          <w:rFonts w:ascii="Times New Roman" w:eastAsia="宋体" w:hAnsi="Times New Roman" w:cs="Times New Roman"/>
        </w:rPr>
        <w:t>表示。</w:t>
      </w:r>
      <w:r>
        <w:rPr>
          <w:rFonts w:ascii="Times New Roman" w:cs="Times New Roman" w:hint="eastAsia"/>
        </w:rPr>
        <w:t>CRLPI</w:t>
      </w:r>
      <w:r>
        <w:rPr>
          <w:rFonts w:ascii="Times New Roman" w:cs="Times New Roman" w:hint="eastAsia"/>
        </w:rPr>
        <w:t>指数即</w:t>
      </w:r>
      <w:r w:rsidRPr="003A243E">
        <w:rPr>
          <w:rFonts w:ascii="Times New Roman" w:eastAsia="宋体" w:hAnsi="Times New Roman" w:cs="Times New Roman"/>
        </w:rPr>
        <w:t>由</w:t>
      </w:r>
      <w:r>
        <w:rPr>
          <w:rFonts w:ascii="Times New Roman" w:eastAsia="宋体" w:hAnsi="Times New Roman" w:cs="Times New Roman" w:hint="eastAsia"/>
        </w:rPr>
        <w:t>式（</w:t>
      </w:r>
      <w:r>
        <w:rPr>
          <w:rFonts w:ascii="Times New Roman" w:eastAsia="宋体" w:hAnsi="Times New Roman" w:cs="Times New Roman" w:hint="eastAsia"/>
        </w:rPr>
        <w:t>1</w:t>
      </w:r>
      <w:r>
        <w:rPr>
          <w:rFonts w:ascii="Times New Roman" w:eastAsia="宋体" w:hAnsi="Times New Roman" w:cs="Times New Roman" w:hint="eastAsia"/>
        </w:rPr>
        <w:t>）中时间</w:t>
      </w:r>
      <w:r w:rsidRPr="003A243E">
        <w:rPr>
          <w:rFonts w:ascii="Times New Roman" w:eastAsia="宋体" w:hAnsi="Times New Roman" w:cs="Times New Roman"/>
        </w:rPr>
        <w:t>哑元变量系数</w:t>
      </w:r>
      <w:r w:rsidRPr="003A243E">
        <w:rPr>
          <w:rFonts w:ascii="Times New Roman" w:hAnsi="Times New Roman" w:cs="Times New Roman"/>
          <w:i/>
        </w:rPr>
        <w:t>β</w:t>
      </w:r>
      <w:r>
        <w:rPr>
          <w:rFonts w:ascii="Times New Roman" w:hAnsi="Times New Roman" w:cs="Times New Roman"/>
        </w:rPr>
        <w:t>计算得</w:t>
      </w:r>
      <w:r>
        <w:rPr>
          <w:rFonts w:ascii="Times New Roman" w:hAnsi="Times New Roman" w:cs="Times New Roman" w:hint="eastAsia"/>
        </w:rPr>
        <w:t>到</w:t>
      </w:r>
      <w:r w:rsidRPr="003A243E">
        <w:rPr>
          <w:rFonts w:ascii="Times New Roman" w:hAnsi="Times New Roman" w:cs="Times New Roman"/>
        </w:rPr>
        <w:t>，</w:t>
      </w:r>
      <w:r>
        <w:rPr>
          <w:rFonts w:ascii="Times New Roman" w:hAnsi="Times New Roman" w:cs="Times New Roman" w:hint="eastAsia"/>
        </w:rPr>
        <w:t>它</w:t>
      </w:r>
      <w:r>
        <w:rPr>
          <w:rFonts w:ascii="Times New Roman" w:hAnsi="Times New Roman" w:cs="Times New Roman"/>
        </w:rPr>
        <w:t>反映</w:t>
      </w:r>
      <w:r>
        <w:rPr>
          <w:rFonts w:ascii="Times New Roman" w:hAnsi="Times New Roman" w:cs="Times New Roman" w:hint="eastAsia"/>
        </w:rPr>
        <w:t>了</w:t>
      </w:r>
      <w:r w:rsidRPr="003A243E">
        <w:rPr>
          <w:rFonts w:ascii="Times New Roman" w:hAnsi="Times New Roman" w:cs="Times New Roman"/>
        </w:rPr>
        <w:t>在尽可能地控制了</w:t>
      </w:r>
      <w:r>
        <w:rPr>
          <w:rFonts w:ascii="Times New Roman" w:hAnsi="Times New Roman" w:cs="Times New Roman" w:hint="eastAsia"/>
        </w:rPr>
        <w:t>不同地块的</w:t>
      </w:r>
      <w:r>
        <w:rPr>
          <w:rFonts w:ascii="Times New Roman" w:hAnsi="Times New Roman" w:cs="Times New Roman"/>
        </w:rPr>
        <w:t>属性差异</w:t>
      </w:r>
      <w:r w:rsidRPr="003A243E">
        <w:rPr>
          <w:rFonts w:ascii="Times New Roman" w:hAnsi="Times New Roman" w:cs="Times New Roman"/>
        </w:rPr>
        <w:t>后，</w:t>
      </w:r>
      <w:r>
        <w:rPr>
          <w:rFonts w:ascii="Times New Roman" w:hAnsi="Times New Roman" w:cs="Times New Roman" w:hint="eastAsia"/>
        </w:rPr>
        <w:t>单纯的</w:t>
      </w:r>
      <w:r>
        <w:rPr>
          <w:rFonts w:ascii="Times New Roman" w:hAnsi="Times New Roman" w:cs="Times New Roman"/>
        </w:rPr>
        <w:t>时间效应对于</w:t>
      </w:r>
      <w:r>
        <w:rPr>
          <w:rFonts w:ascii="Times New Roman" w:hAnsi="Times New Roman" w:cs="Times New Roman" w:hint="eastAsia"/>
        </w:rPr>
        <w:t>土地价格</w:t>
      </w:r>
      <w:r w:rsidRPr="003A243E">
        <w:rPr>
          <w:rFonts w:ascii="Times New Roman" w:hAnsi="Times New Roman" w:cs="Times New Roman"/>
        </w:rPr>
        <w:t>的影响</w:t>
      </w:r>
      <w:r w:rsidR="006A044D">
        <w:rPr>
          <w:rFonts w:ascii="Times New Roman" w:hAnsi="Times New Roman" w:cs="Times New Roman" w:hint="eastAsia"/>
        </w:rPr>
        <w:t>，因此属于一种同质性价格指数</w:t>
      </w:r>
      <w:r w:rsidR="006A044D">
        <w:rPr>
          <w:rStyle w:val="af"/>
          <w:rFonts w:ascii="Times New Roman" w:hAnsi="Times New Roman" w:cs="Times New Roman"/>
        </w:rPr>
        <w:footnoteReference w:id="8"/>
      </w:r>
      <w:r w:rsidRPr="003A243E">
        <w:rPr>
          <w:rFonts w:ascii="Times New Roman" w:hAnsi="Times New Roman" w:cs="Times New Roman"/>
        </w:rPr>
        <w:t>。</w:t>
      </w:r>
    </w:p>
    <w:p w:rsidR="00E21419" w:rsidRDefault="00AC58D2" w:rsidP="00FE7D71">
      <w:pPr>
        <w:spacing w:beforeLines="50" w:before="156" w:afterLines="50" w:after="156" w:line="360" w:lineRule="auto"/>
        <w:ind w:firstLineChars="200" w:firstLine="420"/>
        <w:rPr>
          <w:rFonts w:ascii="Times New Roman" w:cs="Times New Roman"/>
        </w:rPr>
      </w:pPr>
      <w:r w:rsidRPr="003A243E">
        <w:rPr>
          <w:rFonts w:ascii="Times New Roman" w:cs="Times New Roman"/>
        </w:rPr>
        <w:t>区域</w:t>
      </w:r>
      <w:r w:rsidR="006A044D">
        <w:rPr>
          <w:rFonts w:ascii="Times New Roman" w:cs="Times New Roman" w:hint="eastAsia"/>
        </w:rPr>
        <w:t>和全国</w:t>
      </w:r>
      <w:r w:rsidRPr="003A243E">
        <w:rPr>
          <w:rFonts w:ascii="Times New Roman" w:cs="Times New Roman"/>
        </w:rPr>
        <w:t>层面指数的编制方法与城市层面</w:t>
      </w:r>
      <w:r w:rsidR="006A044D">
        <w:rPr>
          <w:rFonts w:ascii="Times New Roman" w:cs="Times New Roman" w:hint="eastAsia"/>
        </w:rPr>
        <w:t>类似</w:t>
      </w:r>
      <w:r w:rsidR="00E21419">
        <w:rPr>
          <w:rFonts w:ascii="Times New Roman" w:cs="Times New Roman" w:hint="eastAsia"/>
        </w:rPr>
        <w:t>，即仍采用式（</w:t>
      </w:r>
      <w:r w:rsidR="00E21419">
        <w:rPr>
          <w:rFonts w:ascii="Times New Roman" w:cs="Times New Roman" w:hint="eastAsia"/>
        </w:rPr>
        <w:t>1</w:t>
      </w:r>
      <w:r w:rsidR="00E21419">
        <w:rPr>
          <w:rFonts w:ascii="Times New Roman" w:cs="Times New Roman" w:hint="eastAsia"/>
        </w:rPr>
        <w:t>）所示特征价格模型，并将所属范围内各城市出让地块一次性、等权重引入</w:t>
      </w:r>
      <w:r w:rsidR="0075621C">
        <w:rPr>
          <w:rFonts w:ascii="Times New Roman" w:cs="Times New Roman" w:hint="eastAsia"/>
        </w:rPr>
        <w:t>模型进行估计（允许</w:t>
      </w:r>
      <w:r w:rsidR="00E21419">
        <w:rPr>
          <w:rFonts w:ascii="Times New Roman" w:cs="Times New Roman" w:hint="eastAsia"/>
        </w:rPr>
        <w:t>地块属性系数在不同城市间存在差异）。但因为区域</w:t>
      </w:r>
      <w:r w:rsidR="00E21419" w:rsidRPr="003A243E">
        <w:rPr>
          <w:rFonts w:ascii="Times New Roman" w:cs="Times New Roman"/>
        </w:rPr>
        <w:t>层面指数按半年</w:t>
      </w:r>
      <w:r w:rsidR="00E21419">
        <w:rPr>
          <w:rFonts w:ascii="Times New Roman" w:cs="Times New Roman"/>
        </w:rPr>
        <w:t>频率</w:t>
      </w:r>
      <w:r w:rsidR="00E21419">
        <w:rPr>
          <w:rFonts w:ascii="Times New Roman" w:cs="Times New Roman" w:hint="eastAsia"/>
        </w:rPr>
        <w:t>计算，</w:t>
      </w:r>
      <w:r w:rsidR="00E21419" w:rsidRPr="003A243E">
        <w:rPr>
          <w:rFonts w:ascii="Times New Roman" w:cs="Times New Roman"/>
        </w:rPr>
        <w:t>国家层面</w:t>
      </w:r>
      <w:r w:rsidR="00E21419">
        <w:rPr>
          <w:rFonts w:ascii="Times New Roman" w:cs="Times New Roman"/>
        </w:rPr>
        <w:t>指数按季度</w:t>
      </w:r>
      <w:r w:rsidR="0075621C">
        <w:rPr>
          <w:rFonts w:ascii="Times New Roman" w:cs="Times New Roman" w:hint="eastAsia"/>
        </w:rPr>
        <w:t>频率计算，</w:t>
      </w:r>
      <w:r w:rsidR="00E21419">
        <w:rPr>
          <w:rFonts w:ascii="Times New Roman" w:cs="Times New Roman" w:hint="eastAsia"/>
        </w:rPr>
        <w:t>时间哑元变量的定义需要相应调整。</w:t>
      </w:r>
    </w:p>
    <w:p w:rsidR="009F7FDD" w:rsidRPr="003A243E" w:rsidRDefault="0075621C" w:rsidP="00FE7D71">
      <w:pPr>
        <w:spacing w:beforeLines="50" w:before="156" w:afterLines="50" w:after="156" w:line="360" w:lineRule="auto"/>
        <w:ind w:firstLineChars="200" w:firstLine="420"/>
        <w:rPr>
          <w:rFonts w:ascii="Times New Roman" w:hAnsi="Times New Roman" w:cs="Times New Roman"/>
        </w:rPr>
      </w:pPr>
      <w:r>
        <w:rPr>
          <w:rFonts w:ascii="Times New Roman" w:cs="Times New Roman" w:hint="eastAsia"/>
        </w:rPr>
        <w:t>尽管由于篇幅原因我们没有详细报告各</w:t>
      </w:r>
      <w:r w:rsidR="00E21419">
        <w:rPr>
          <w:rFonts w:ascii="Times New Roman" w:cs="Times New Roman" w:hint="eastAsia"/>
        </w:rPr>
        <w:t>特征价格模型</w:t>
      </w:r>
      <w:r>
        <w:rPr>
          <w:rFonts w:ascii="Times New Roman" w:cs="Times New Roman" w:hint="eastAsia"/>
        </w:rPr>
        <w:t>的</w:t>
      </w:r>
      <w:r w:rsidR="00D018CA">
        <w:rPr>
          <w:rFonts w:ascii="Times New Roman" w:cs="Times New Roman" w:hint="eastAsia"/>
        </w:rPr>
        <w:t>估计结果，但总体而言各</w:t>
      </w:r>
      <w:r w:rsidR="00E21419">
        <w:rPr>
          <w:rFonts w:ascii="Times New Roman" w:cs="Times New Roman" w:hint="eastAsia"/>
        </w:rPr>
        <w:t>模型均</w:t>
      </w:r>
      <w:r w:rsidR="00D018CA">
        <w:rPr>
          <w:rFonts w:ascii="Times New Roman" w:cs="Times New Roman" w:hint="eastAsia"/>
        </w:rPr>
        <w:t>表现出</w:t>
      </w:r>
      <w:r w:rsidR="00E21419">
        <w:rPr>
          <w:rFonts w:ascii="Times New Roman" w:cs="Times New Roman" w:hint="eastAsia"/>
        </w:rPr>
        <w:t>较强的总体解释能力，同时各地块属性的系数整体上也与预期相一致。更详细的说明和分析可参见</w:t>
      </w:r>
      <w:r w:rsidR="00E21419">
        <w:rPr>
          <w:rFonts w:ascii="Times New Roman" w:hAnsi="Times New Roman" w:cs="Times New Roman"/>
        </w:rPr>
        <w:t>Wu</w:t>
      </w:r>
      <w:r w:rsidR="00E21419">
        <w:rPr>
          <w:rFonts w:ascii="Times New Roman" w:hAnsi="Times New Roman" w:cs="Times New Roman" w:hint="eastAsia"/>
        </w:rPr>
        <w:t>，</w:t>
      </w:r>
      <w:r w:rsidR="00EC54A7" w:rsidRPr="003A243E">
        <w:rPr>
          <w:rFonts w:ascii="Times New Roman" w:hAnsi="Times New Roman" w:cs="Times New Roman"/>
        </w:rPr>
        <w:t>Gyourko</w:t>
      </w:r>
      <w:r w:rsidR="00E21419">
        <w:rPr>
          <w:rFonts w:ascii="Times New Roman" w:hAnsi="Times New Roman" w:cs="Times New Roman" w:hint="eastAsia"/>
        </w:rPr>
        <w:t>和</w:t>
      </w:r>
      <w:r w:rsidR="00EC54A7" w:rsidRPr="003A243E">
        <w:rPr>
          <w:rFonts w:ascii="Times New Roman" w:hAnsi="Times New Roman" w:cs="Times New Roman"/>
        </w:rPr>
        <w:t>Deng</w:t>
      </w:r>
      <w:r w:rsidR="00E21419">
        <w:rPr>
          <w:rFonts w:ascii="Times New Roman" w:hAnsi="Times New Roman" w:cs="Times New Roman" w:hint="eastAsia"/>
        </w:rPr>
        <w:t>（</w:t>
      </w:r>
      <w:r w:rsidR="00E21419">
        <w:rPr>
          <w:rFonts w:ascii="Times New Roman" w:hAnsi="Times New Roman" w:cs="Times New Roman" w:hint="eastAsia"/>
        </w:rPr>
        <w:t>2012</w:t>
      </w:r>
      <w:r w:rsidR="00E21419">
        <w:rPr>
          <w:rFonts w:ascii="Times New Roman" w:hAnsi="Times New Roman" w:cs="Times New Roman" w:hint="eastAsia"/>
        </w:rPr>
        <w:t>）基于北京市居住用地</w:t>
      </w:r>
      <w:r w:rsidR="00EC54A7" w:rsidRPr="003A243E">
        <w:rPr>
          <w:rFonts w:ascii="Times New Roman" w:hAnsi="Times New Roman" w:cs="Times New Roman"/>
        </w:rPr>
        <w:t>市场</w:t>
      </w:r>
      <w:r w:rsidR="00E21419">
        <w:rPr>
          <w:rFonts w:ascii="Times New Roman" w:hAnsi="Times New Roman" w:cs="Times New Roman" w:hint="eastAsia"/>
        </w:rPr>
        <w:t>的讨论，或</w:t>
      </w:r>
      <w:r w:rsidR="00E21419">
        <w:rPr>
          <w:rFonts w:ascii="Times New Roman" w:hAnsi="Times New Roman" w:cs="Times New Roman"/>
        </w:rPr>
        <w:t>Deng</w:t>
      </w:r>
      <w:r w:rsidR="00E21419">
        <w:rPr>
          <w:rFonts w:ascii="Times New Roman" w:hAnsi="Times New Roman" w:cs="Times New Roman" w:hint="eastAsia"/>
        </w:rPr>
        <w:t>，</w:t>
      </w:r>
      <w:r w:rsidR="00E21419">
        <w:rPr>
          <w:rFonts w:ascii="Times New Roman" w:hAnsi="Times New Roman" w:cs="Times New Roman"/>
        </w:rPr>
        <w:t>Gyourko</w:t>
      </w:r>
      <w:r w:rsidR="00E21419">
        <w:rPr>
          <w:rFonts w:ascii="Times New Roman" w:hAnsi="Times New Roman" w:cs="Times New Roman" w:hint="eastAsia"/>
        </w:rPr>
        <w:t>和</w:t>
      </w:r>
      <w:r w:rsidR="00EC54A7" w:rsidRPr="003A243E">
        <w:rPr>
          <w:rFonts w:ascii="Times New Roman" w:hAnsi="Times New Roman" w:cs="Times New Roman"/>
        </w:rPr>
        <w:t>Wu</w:t>
      </w:r>
      <w:r w:rsidR="00E21419">
        <w:rPr>
          <w:rFonts w:ascii="Times New Roman" w:hAnsi="Times New Roman" w:cs="Times New Roman" w:hint="eastAsia"/>
        </w:rPr>
        <w:t>（</w:t>
      </w:r>
      <w:r w:rsidR="00E21419">
        <w:rPr>
          <w:rFonts w:ascii="Times New Roman" w:hAnsi="Times New Roman" w:cs="Times New Roman" w:hint="eastAsia"/>
        </w:rPr>
        <w:t>2012</w:t>
      </w:r>
      <w:r w:rsidR="00E21419">
        <w:rPr>
          <w:rFonts w:ascii="Times New Roman" w:hAnsi="Times New Roman" w:cs="Times New Roman" w:hint="eastAsia"/>
        </w:rPr>
        <w:t>）对</w:t>
      </w:r>
      <w:r w:rsidR="00117488" w:rsidRPr="003A243E">
        <w:rPr>
          <w:rFonts w:ascii="Times New Roman" w:hAnsi="Times New Roman" w:cs="Times New Roman"/>
        </w:rPr>
        <w:t>35</w:t>
      </w:r>
      <w:r w:rsidR="00117488" w:rsidRPr="003A243E">
        <w:rPr>
          <w:rFonts w:ascii="Times New Roman" w:hAnsi="Times New Roman" w:cs="Times New Roman"/>
        </w:rPr>
        <w:t>个大中城市</w:t>
      </w:r>
      <w:r w:rsidR="00E21419">
        <w:rPr>
          <w:rFonts w:ascii="Times New Roman" w:hAnsi="Times New Roman" w:cs="Times New Roman" w:hint="eastAsia"/>
        </w:rPr>
        <w:t>居住用地市场的</w:t>
      </w:r>
      <w:r w:rsidR="00D018CA">
        <w:rPr>
          <w:rFonts w:ascii="Times New Roman" w:hAnsi="Times New Roman" w:cs="Times New Roman" w:hint="eastAsia"/>
        </w:rPr>
        <w:t>研究</w:t>
      </w:r>
      <w:r w:rsidR="00117488" w:rsidRPr="003A243E">
        <w:rPr>
          <w:rFonts w:ascii="Times New Roman" w:hAnsi="Times New Roman" w:cs="Times New Roman"/>
        </w:rPr>
        <w:t>。</w:t>
      </w:r>
    </w:p>
    <w:p w:rsidR="00E21419" w:rsidRDefault="00E21419" w:rsidP="00FE7D71">
      <w:pPr>
        <w:spacing w:beforeLines="50" w:before="156" w:afterLines="50" w:after="156" w:line="360" w:lineRule="auto"/>
        <w:ind w:firstLineChars="200" w:firstLine="420"/>
        <w:rPr>
          <w:rFonts w:ascii="Times New Roman" w:cs="Times New Roman"/>
        </w:rPr>
      </w:pPr>
      <w:r>
        <w:rPr>
          <w:rFonts w:ascii="Times New Roman" w:cs="Times New Roman" w:hint="eastAsia"/>
        </w:rPr>
        <w:t>总体而言，指数编制结果凸显了在土地价格统计过程中控制地块属性变化的重要性。</w:t>
      </w:r>
      <w:r w:rsidR="00203B7B">
        <w:rPr>
          <w:rFonts w:ascii="Times New Roman" w:cs="Times New Roman" w:hint="eastAsia"/>
        </w:rPr>
        <w:t>例如，在全国层面上，</w:t>
      </w:r>
      <w:r>
        <w:rPr>
          <w:rFonts w:ascii="Times New Roman" w:cs="Times New Roman" w:hint="eastAsia"/>
        </w:rPr>
        <w:t>与未控制</w:t>
      </w:r>
      <w:r w:rsidR="00203B7B">
        <w:rPr>
          <w:rFonts w:ascii="Times New Roman" w:cs="Times New Roman" w:hint="eastAsia"/>
        </w:rPr>
        <w:t>地块属性的平均价格指标相比，同质性价格指数的年均增长率高出约</w:t>
      </w:r>
      <w:r w:rsidR="00740DFB">
        <w:rPr>
          <w:rFonts w:ascii="Times New Roman" w:cs="Times New Roman" w:hint="eastAsia"/>
        </w:rPr>
        <w:t>5.6</w:t>
      </w:r>
      <w:r w:rsidR="00203B7B">
        <w:rPr>
          <w:rFonts w:ascii="Times New Roman" w:cs="Times New Roman" w:hint="eastAsia"/>
        </w:rPr>
        <w:t>个百分点（相当于在</w:t>
      </w:r>
      <w:r w:rsidR="00203B7B">
        <w:rPr>
          <w:rFonts w:ascii="Times New Roman" w:cs="Times New Roman" w:hint="eastAsia"/>
        </w:rPr>
        <w:t>2004</w:t>
      </w:r>
      <w:r w:rsidR="00203B7B">
        <w:rPr>
          <w:rFonts w:ascii="Times New Roman" w:cs="Times New Roman" w:hint="eastAsia"/>
        </w:rPr>
        <w:t>年至</w:t>
      </w:r>
      <w:r w:rsidR="00740DFB">
        <w:rPr>
          <w:rFonts w:ascii="Times New Roman" w:cs="Times New Roman" w:hint="eastAsia"/>
        </w:rPr>
        <w:t>201</w:t>
      </w:r>
      <w:r w:rsidR="00740DFB">
        <w:rPr>
          <w:rFonts w:ascii="Times New Roman" w:cs="Times New Roman"/>
        </w:rPr>
        <w:t>3</w:t>
      </w:r>
      <w:r w:rsidR="00203B7B">
        <w:rPr>
          <w:rFonts w:ascii="Times New Roman" w:cs="Times New Roman" w:hint="eastAsia"/>
        </w:rPr>
        <w:t>年间累积价格增幅高出约</w:t>
      </w:r>
      <w:r w:rsidR="00740DFB">
        <w:rPr>
          <w:rFonts w:ascii="Times New Roman" w:cs="Times New Roman"/>
        </w:rPr>
        <w:t>60</w:t>
      </w:r>
      <w:r w:rsidR="00203B7B">
        <w:rPr>
          <w:rFonts w:ascii="Times New Roman" w:cs="Times New Roman" w:hint="eastAsia"/>
        </w:rPr>
        <w:t>%</w:t>
      </w:r>
      <w:r w:rsidR="00203B7B">
        <w:rPr>
          <w:rFonts w:ascii="Times New Roman" w:cs="Times New Roman" w:hint="eastAsia"/>
        </w:rPr>
        <w:t>），</w:t>
      </w:r>
      <w:r w:rsidR="00D018CA">
        <w:rPr>
          <w:rFonts w:ascii="Times New Roman" w:cs="Times New Roman" w:hint="eastAsia"/>
        </w:rPr>
        <w:t>这反映了</w:t>
      </w:r>
      <w:r w:rsidR="00203B7B">
        <w:rPr>
          <w:rFonts w:ascii="Times New Roman" w:cs="Times New Roman" w:hint="eastAsia"/>
        </w:rPr>
        <w:t>出让地块“质量”整体呈下降趋势（例如与城市中心距离趋远）。这种同质性和非同质性价格指标之间的差异可能随时间和市场发生变化，但仍充分体现了引入同质性价格指标考察居住用地价格变化的重要性。</w:t>
      </w:r>
    </w:p>
    <w:p w:rsidR="00E81937" w:rsidRDefault="00E81937" w:rsidP="00FE7D71">
      <w:pPr>
        <w:spacing w:beforeLines="50" w:before="156" w:afterLines="50" w:after="156" w:line="360" w:lineRule="auto"/>
        <w:ind w:firstLineChars="200" w:firstLine="420"/>
        <w:rPr>
          <w:rFonts w:ascii="Times New Roman" w:hAnsi="Times New Roman" w:cs="Times New Roman"/>
        </w:rPr>
      </w:pPr>
      <w:r>
        <w:rPr>
          <w:rFonts w:ascii="Times New Roman" w:hAnsi="Times New Roman" w:cs="Times New Roman" w:hint="eastAsia"/>
        </w:rPr>
        <w:t>需要说明的是</w:t>
      </w:r>
      <w:r w:rsidR="00057C7E" w:rsidRPr="003A243E">
        <w:rPr>
          <w:rFonts w:ascii="Times New Roman" w:hAnsi="Times New Roman" w:cs="Times New Roman"/>
        </w:rPr>
        <w:t>，</w:t>
      </w:r>
      <w:r>
        <w:rPr>
          <w:rFonts w:ascii="Times New Roman" w:hAnsi="Times New Roman" w:cs="Times New Roman" w:hint="eastAsia"/>
        </w:rPr>
        <w:t>由于采用一次性建模形式的特征价格法进行指数编制，在引入一个新的报告期（季度、半年或年）样本进行指数更新时，历史指数值可能受到影响</w:t>
      </w:r>
      <w:r w:rsidR="00D018CA">
        <w:rPr>
          <w:rFonts w:ascii="Times New Roman" w:hAnsi="Times New Roman" w:cs="Times New Roman" w:hint="eastAsia"/>
        </w:rPr>
        <w:t>而发生改变</w:t>
      </w:r>
      <w:r w:rsidR="005D142F">
        <w:rPr>
          <w:rStyle w:val="af"/>
          <w:rFonts w:ascii="Times New Roman" w:hAnsi="Times New Roman" w:cs="Times New Roman"/>
        </w:rPr>
        <w:footnoteReference w:id="9"/>
      </w:r>
      <w:r w:rsidR="00D018CA">
        <w:rPr>
          <w:rFonts w:ascii="Times New Roman" w:hAnsi="Times New Roman" w:cs="Times New Roman" w:hint="eastAsia"/>
        </w:rPr>
        <w:t>。迄今为止的各报告期内这种改变都非常微弱，但</w:t>
      </w:r>
      <w:r>
        <w:rPr>
          <w:rFonts w:ascii="Times New Roman" w:hAnsi="Times New Roman" w:cs="Times New Roman" w:hint="eastAsia"/>
        </w:rPr>
        <w:t>理论上我们无法保证未来</w:t>
      </w:r>
      <w:r w:rsidR="00D018CA">
        <w:rPr>
          <w:rFonts w:ascii="Times New Roman" w:hAnsi="Times New Roman" w:cs="Times New Roman" w:hint="eastAsia"/>
        </w:rPr>
        <w:t>不发生特殊情况</w:t>
      </w:r>
      <w:r>
        <w:rPr>
          <w:rFonts w:ascii="Times New Roman" w:hAnsi="Times New Roman" w:cs="Times New Roman" w:hint="eastAsia"/>
        </w:rPr>
        <w:t>。</w:t>
      </w:r>
    </w:p>
    <w:p w:rsidR="00462268" w:rsidRDefault="00462268">
      <w:pPr>
        <w:widowControl/>
        <w:jc w:val="left"/>
        <w:rPr>
          <w:rFonts w:ascii="Times New Roman" w:hAnsiTheme="minorEastAsia" w:cs="Times New Roman"/>
          <w:b/>
        </w:rPr>
      </w:pPr>
      <w:r>
        <w:rPr>
          <w:rFonts w:ascii="Times New Roman" w:hAnsiTheme="minorEastAsia" w:cs="Times New Roman"/>
          <w:b/>
        </w:rPr>
        <w:br w:type="page"/>
      </w:r>
    </w:p>
    <w:p w:rsidR="001863D8" w:rsidRPr="003A243E" w:rsidRDefault="001863D8" w:rsidP="00FE7D71">
      <w:pPr>
        <w:spacing w:beforeLines="50" w:before="156" w:afterLines="50" w:after="156" w:line="360" w:lineRule="auto"/>
        <w:rPr>
          <w:rFonts w:ascii="Times New Roman" w:eastAsia="MS Mincho" w:hAnsi="Times New Roman" w:cs="Times New Roman"/>
          <w:b/>
        </w:rPr>
      </w:pPr>
      <w:r w:rsidRPr="003A243E">
        <w:rPr>
          <w:rFonts w:ascii="Times New Roman" w:hAnsiTheme="minorEastAsia" w:cs="Times New Roman"/>
          <w:b/>
        </w:rPr>
        <w:lastRenderedPageBreak/>
        <w:t>主要参考文献：</w:t>
      </w:r>
    </w:p>
    <w:p w:rsidR="001863D8" w:rsidRPr="003A243E" w:rsidRDefault="001863D8" w:rsidP="00FE7D71">
      <w:pPr>
        <w:spacing w:beforeLines="50" w:before="156" w:afterLines="50" w:after="156" w:line="360" w:lineRule="auto"/>
        <w:ind w:left="372" w:hangingChars="177" w:hanging="372"/>
        <w:rPr>
          <w:rFonts w:ascii="Times New Roman" w:eastAsia="MS Mincho" w:hAnsi="Times New Roman" w:cs="Times New Roman"/>
        </w:rPr>
      </w:pPr>
      <w:r w:rsidRPr="003A243E">
        <w:rPr>
          <w:rFonts w:ascii="Times New Roman" w:eastAsia="MS Mincho" w:hAnsi="Times New Roman" w:cs="Times New Roman"/>
        </w:rPr>
        <w:t>Cai, Hongbin, Vernon Henderson, and Qinghua Zhang (2009). “China’s Land Market Auctions: Evidence of Corruption,” NBER Working Paper #15067.</w:t>
      </w:r>
    </w:p>
    <w:p w:rsidR="001863D8" w:rsidRPr="003A243E" w:rsidRDefault="001863D8" w:rsidP="00FE7D71">
      <w:pPr>
        <w:spacing w:beforeLines="50" w:before="156" w:afterLines="50" w:after="156" w:line="360" w:lineRule="auto"/>
        <w:ind w:left="372" w:hangingChars="177" w:hanging="372"/>
        <w:rPr>
          <w:rFonts w:ascii="Times New Roman" w:eastAsia="MS Mincho" w:hAnsi="Times New Roman" w:cs="Times New Roman"/>
        </w:rPr>
      </w:pPr>
      <w:r w:rsidRPr="003A243E">
        <w:rPr>
          <w:rFonts w:ascii="Times New Roman" w:eastAsia="MS Mincho" w:hAnsi="Times New Roman" w:cs="Times New Roman"/>
        </w:rPr>
        <w:t xml:space="preserve">Deng, Yongheng and John Quigley (2008). “Index Revision, House Price Risk, and the Market for House Price Derivatives,” </w:t>
      </w:r>
      <w:r w:rsidRPr="003A243E">
        <w:rPr>
          <w:rFonts w:ascii="Times New Roman" w:eastAsia="MS Mincho" w:hAnsi="Times New Roman" w:cs="Times New Roman"/>
          <w:i/>
        </w:rPr>
        <w:t>Journal of Real Estate Finance and Economics</w:t>
      </w:r>
      <w:r w:rsidRPr="003A243E">
        <w:rPr>
          <w:rFonts w:ascii="Times New Roman" w:eastAsia="MS Mincho" w:hAnsi="Times New Roman" w:cs="Times New Roman"/>
        </w:rPr>
        <w:t>, Vol. 37, No. 3:191-209.</w:t>
      </w:r>
    </w:p>
    <w:p w:rsidR="001863D8" w:rsidRPr="003A243E" w:rsidRDefault="001863D8" w:rsidP="00FE7D71">
      <w:pPr>
        <w:spacing w:beforeLines="50" w:before="156" w:afterLines="50" w:after="156" w:line="360" w:lineRule="auto"/>
        <w:ind w:left="372" w:hangingChars="177" w:hanging="372"/>
        <w:rPr>
          <w:rFonts w:ascii="Times New Roman" w:eastAsia="MS Mincho" w:hAnsi="Times New Roman" w:cs="Times New Roman"/>
        </w:rPr>
      </w:pPr>
      <w:r w:rsidRPr="003A243E">
        <w:rPr>
          <w:rFonts w:ascii="Times New Roman" w:eastAsia="MS Mincho" w:hAnsi="Times New Roman" w:cs="Times New Roman"/>
        </w:rPr>
        <w:t>Deng, Yongheng, Joseph Gyourko and Jing Wu (2012). “</w:t>
      </w:r>
      <w:r w:rsidRPr="003A243E">
        <w:rPr>
          <w:rFonts w:ascii="Times New Roman" w:eastAsia="宋体" w:hAnsi="Times New Roman" w:cs="Times New Roman"/>
        </w:rPr>
        <w:t xml:space="preserve">Land and House Price Measurement in China”, in </w:t>
      </w:r>
      <w:r w:rsidRPr="003A243E">
        <w:rPr>
          <w:rFonts w:ascii="Times New Roman" w:eastAsia="宋体" w:hAnsi="Times New Roman" w:cs="Times New Roman"/>
          <w:i/>
          <w:noProof/>
        </w:rPr>
        <w:t>Property Markets and Financial Stability</w:t>
      </w:r>
      <w:r w:rsidRPr="003A243E">
        <w:rPr>
          <w:rFonts w:ascii="Times New Roman" w:eastAsia="宋体" w:hAnsi="Times New Roman" w:cs="Times New Roman"/>
          <w:noProof/>
        </w:rPr>
        <w:t>, A. Heath, F.Packer and C.Windsor eds., Reserve Bank of Australia.</w:t>
      </w:r>
    </w:p>
    <w:p w:rsidR="001863D8" w:rsidRPr="003A243E" w:rsidRDefault="001863D8" w:rsidP="00FE7D71">
      <w:pPr>
        <w:spacing w:beforeLines="50" w:before="156" w:afterLines="50" w:after="156" w:line="360" w:lineRule="auto"/>
        <w:ind w:left="372" w:hangingChars="177" w:hanging="372"/>
        <w:rPr>
          <w:rFonts w:ascii="Times New Roman" w:eastAsia="MS Mincho" w:hAnsi="Times New Roman" w:cs="Times New Roman"/>
        </w:rPr>
      </w:pPr>
      <w:r w:rsidRPr="003A243E">
        <w:rPr>
          <w:rFonts w:ascii="Times New Roman" w:eastAsia="MS Mincho" w:hAnsi="Times New Roman" w:cs="Times New Roman"/>
        </w:rPr>
        <w:t>Kain, John and John Quigley. (1970). “Measuring the Value of Housing Quality,”</w:t>
      </w:r>
      <w:r w:rsidR="00397F15">
        <w:rPr>
          <w:rFonts w:ascii="Times New Roman" w:eastAsia="MS Mincho" w:hAnsi="Times New Roman" w:cs="Times New Roman"/>
        </w:rPr>
        <w:t xml:space="preserve"> </w:t>
      </w:r>
      <w:r w:rsidRPr="003A243E">
        <w:rPr>
          <w:rFonts w:ascii="Times New Roman" w:eastAsia="MS Mincho" w:hAnsi="Times New Roman" w:cs="Times New Roman"/>
          <w:i/>
        </w:rPr>
        <w:t>Journal of the American Statistical Association</w:t>
      </w:r>
      <w:r w:rsidRPr="003A243E">
        <w:rPr>
          <w:rFonts w:ascii="Times New Roman" w:eastAsia="MS Mincho" w:hAnsi="Times New Roman" w:cs="Times New Roman"/>
        </w:rPr>
        <w:t>, Vol. 65, No. 330: 532-548.</w:t>
      </w:r>
    </w:p>
    <w:p w:rsidR="001863D8" w:rsidRPr="003A243E" w:rsidRDefault="001863D8" w:rsidP="00FE7D71">
      <w:pPr>
        <w:spacing w:beforeLines="50" w:before="156" w:afterLines="50" w:after="156" w:line="360" w:lineRule="auto"/>
        <w:ind w:left="372" w:hangingChars="177" w:hanging="372"/>
        <w:rPr>
          <w:rFonts w:ascii="Times New Roman" w:eastAsia="MS Mincho" w:hAnsi="Times New Roman" w:cs="Times New Roman"/>
        </w:rPr>
      </w:pPr>
      <w:r w:rsidRPr="003A243E">
        <w:rPr>
          <w:rFonts w:ascii="Times New Roman" w:eastAsia="MS Mincho" w:hAnsi="Times New Roman" w:cs="Times New Roman"/>
        </w:rPr>
        <w:t>Thibodeau, Thomas. (1989). “Housing Price Indexes from the 1974-1983 SIMSA Annual Housing Surveys,”</w:t>
      </w:r>
      <w:r w:rsidR="00397F15">
        <w:rPr>
          <w:rFonts w:ascii="Times New Roman" w:eastAsia="MS Mincho" w:hAnsi="Times New Roman" w:cs="Times New Roman"/>
        </w:rPr>
        <w:t xml:space="preserve"> </w:t>
      </w:r>
      <w:r w:rsidRPr="003A243E">
        <w:rPr>
          <w:rFonts w:ascii="Times New Roman" w:eastAsia="MS Mincho" w:hAnsi="Times New Roman" w:cs="Times New Roman"/>
          <w:i/>
        </w:rPr>
        <w:t>AREUEA Journal</w:t>
      </w:r>
      <w:r w:rsidRPr="003A243E">
        <w:rPr>
          <w:rFonts w:ascii="Times New Roman" w:eastAsia="MS Mincho" w:hAnsi="Times New Roman" w:cs="Times New Roman"/>
        </w:rPr>
        <w:t>, Vol. 17, No. 1: 100-117.</w:t>
      </w:r>
    </w:p>
    <w:p w:rsidR="001863D8" w:rsidRPr="003A243E" w:rsidRDefault="001863D8" w:rsidP="00FE7D71">
      <w:pPr>
        <w:spacing w:beforeLines="50" w:before="156" w:afterLines="50" w:after="156" w:line="360" w:lineRule="auto"/>
        <w:ind w:left="372" w:hangingChars="177" w:hanging="372"/>
        <w:rPr>
          <w:rFonts w:ascii="Times New Roman" w:eastAsia="MS Mincho" w:hAnsi="Times New Roman" w:cs="Times New Roman"/>
        </w:rPr>
      </w:pPr>
      <w:r w:rsidRPr="003A243E">
        <w:rPr>
          <w:rFonts w:ascii="Times New Roman" w:eastAsia="MS Mincho" w:hAnsi="Times New Roman" w:cs="Times New Roman"/>
        </w:rPr>
        <w:t>Wu, Jing, Joseph Gyourko and Yongheng Deng (2012). “Evaluating Conditions in Major Chinese Housing Markets,”</w:t>
      </w:r>
      <w:r w:rsidR="00397F15">
        <w:rPr>
          <w:rFonts w:ascii="Times New Roman" w:eastAsia="MS Mincho" w:hAnsi="Times New Roman" w:cs="Times New Roman"/>
        </w:rPr>
        <w:t xml:space="preserve"> </w:t>
      </w:r>
      <w:r w:rsidRPr="003A243E">
        <w:rPr>
          <w:rFonts w:ascii="Times New Roman" w:eastAsia="MS Mincho" w:hAnsi="Times New Roman" w:cs="Times New Roman"/>
          <w:i/>
        </w:rPr>
        <w:t>Regional Science and Urban Economics</w:t>
      </w:r>
      <w:r w:rsidRPr="003A243E">
        <w:rPr>
          <w:rFonts w:ascii="Times New Roman" w:eastAsia="MS Mincho" w:hAnsi="Times New Roman" w:cs="Times New Roman"/>
        </w:rPr>
        <w:t>, Vol. 42, No. 2: 531-543.</w:t>
      </w:r>
    </w:p>
    <w:p w:rsidR="00D74F0B" w:rsidRPr="0066400A" w:rsidRDefault="00D74F0B" w:rsidP="00D74F0B">
      <w:pPr>
        <w:spacing w:before="120" w:line="360" w:lineRule="auto"/>
        <w:ind w:left="372" w:hangingChars="177" w:hanging="372"/>
        <w:rPr>
          <w:rFonts w:ascii="Times New Roman" w:eastAsia="MS Mincho" w:hAnsi="Times New Roman" w:cs="Times New Roman"/>
        </w:rPr>
      </w:pPr>
      <w:r w:rsidRPr="0066400A">
        <w:rPr>
          <w:rFonts w:ascii="Times New Roman" w:eastAsia="MS Mincho" w:hAnsi="Times New Roman" w:cs="Times New Roman"/>
        </w:rPr>
        <w:t>Wu, Jing, Yongheng Deng and Hongyu Liu (201</w:t>
      </w:r>
      <w:r w:rsidRPr="0066400A">
        <w:rPr>
          <w:rFonts w:ascii="Times New Roman" w:hAnsi="Times New Roman" w:cs="Times New Roman"/>
        </w:rPr>
        <w:t>4</w:t>
      </w:r>
      <w:r w:rsidRPr="0066400A">
        <w:rPr>
          <w:rFonts w:ascii="Times New Roman" w:eastAsia="MS Mincho" w:hAnsi="Times New Roman" w:cs="Times New Roman"/>
        </w:rPr>
        <w:t>). “</w:t>
      </w:r>
      <w:r w:rsidRPr="0066400A">
        <w:rPr>
          <w:rFonts w:ascii="Times New Roman" w:eastAsia="MS Mincho" w:hAnsi="Times New Roman" w:cs="Times New Roman"/>
          <w:color w:val="000000"/>
        </w:rPr>
        <w:t xml:space="preserve">House Price Index Construction in the Nascent Housing Market: The Case of China,” </w:t>
      </w:r>
      <w:r w:rsidRPr="0066400A">
        <w:rPr>
          <w:rFonts w:ascii="Times New Roman" w:eastAsia="MS Mincho" w:hAnsi="Times New Roman" w:cs="Times New Roman"/>
          <w:i/>
          <w:color w:val="000000"/>
        </w:rPr>
        <w:t>Journal of Real Estate Finance and Economics</w:t>
      </w:r>
      <w:r w:rsidRPr="0066400A">
        <w:rPr>
          <w:rFonts w:ascii="Times New Roman" w:eastAsia="MS Mincho" w:hAnsi="Times New Roman" w:cs="Times New Roman"/>
          <w:color w:val="000000"/>
        </w:rPr>
        <w:t>,</w:t>
      </w:r>
      <w:r w:rsidRPr="0066400A">
        <w:rPr>
          <w:rFonts w:ascii="Times New Roman" w:eastAsia="MS Mincho" w:hAnsi="Times New Roman" w:cs="Times New Roman"/>
          <w:i/>
          <w:color w:val="000000"/>
        </w:rPr>
        <w:t xml:space="preserve"> </w:t>
      </w:r>
      <w:r w:rsidRPr="0066400A">
        <w:rPr>
          <w:rFonts w:ascii="Times New Roman" w:eastAsia="MS Mincho" w:hAnsi="Times New Roman" w:cs="Times New Roman"/>
        </w:rPr>
        <w:t>Vol. 4</w:t>
      </w:r>
      <w:r w:rsidRPr="0066400A">
        <w:rPr>
          <w:rFonts w:ascii="Times New Roman" w:hAnsi="Times New Roman" w:cs="Times New Roman"/>
        </w:rPr>
        <w:t>8</w:t>
      </w:r>
      <w:r w:rsidRPr="0066400A">
        <w:rPr>
          <w:rFonts w:ascii="Times New Roman" w:eastAsia="MS Mincho" w:hAnsi="Times New Roman" w:cs="Times New Roman"/>
        </w:rPr>
        <w:t xml:space="preserve">, No. </w:t>
      </w:r>
      <w:r w:rsidRPr="0066400A">
        <w:rPr>
          <w:rFonts w:ascii="Times New Roman" w:hAnsi="Times New Roman" w:cs="Times New Roman"/>
        </w:rPr>
        <w:t>3</w:t>
      </w:r>
      <w:r w:rsidRPr="0066400A">
        <w:rPr>
          <w:rFonts w:ascii="Times New Roman" w:eastAsia="MS Mincho" w:hAnsi="Times New Roman" w:cs="Times New Roman"/>
        </w:rPr>
        <w:t>: 5</w:t>
      </w:r>
      <w:r w:rsidRPr="0066400A">
        <w:rPr>
          <w:rFonts w:ascii="Times New Roman" w:hAnsi="Times New Roman" w:cs="Times New Roman"/>
        </w:rPr>
        <w:t>22</w:t>
      </w:r>
      <w:r w:rsidRPr="0066400A">
        <w:rPr>
          <w:rFonts w:ascii="Times New Roman" w:eastAsia="MS Mincho" w:hAnsi="Times New Roman" w:cs="Times New Roman"/>
        </w:rPr>
        <w:t>-54</w:t>
      </w:r>
      <w:r w:rsidRPr="0066400A">
        <w:rPr>
          <w:rFonts w:ascii="Times New Roman" w:hAnsi="Times New Roman" w:cs="Times New Roman"/>
        </w:rPr>
        <w:t>5</w:t>
      </w:r>
      <w:r w:rsidRPr="0066400A">
        <w:rPr>
          <w:rFonts w:ascii="Times New Roman" w:eastAsia="MS Mincho" w:hAnsi="Times New Roman" w:cs="Times New Roman"/>
        </w:rPr>
        <w:t>.</w:t>
      </w:r>
    </w:p>
    <w:p w:rsidR="001863D8" w:rsidRPr="003A243E" w:rsidRDefault="001863D8" w:rsidP="00FE7D71">
      <w:pPr>
        <w:widowControl/>
        <w:spacing w:beforeLines="50" w:before="156" w:afterLines="50" w:after="156" w:line="360" w:lineRule="auto"/>
        <w:jc w:val="left"/>
        <w:rPr>
          <w:rFonts w:ascii="Times New Roman" w:hAnsi="Times New Roman" w:cs="Times New Roman"/>
        </w:rPr>
      </w:pPr>
      <w:r w:rsidRPr="003A243E">
        <w:rPr>
          <w:rFonts w:ascii="Times New Roman" w:hAnsi="Times New Roman" w:cs="Times New Roman"/>
        </w:rPr>
        <w:br w:type="page"/>
      </w:r>
    </w:p>
    <w:p w:rsidR="001863D8" w:rsidRPr="003A243E" w:rsidRDefault="001863D8" w:rsidP="00FE7D71">
      <w:pPr>
        <w:spacing w:beforeLines="50" w:before="156" w:afterLines="50" w:after="156" w:line="360" w:lineRule="auto"/>
        <w:jc w:val="center"/>
        <w:rPr>
          <w:rFonts w:ascii="Times New Roman" w:hAnsi="Times New Roman" w:cs="Times New Roman"/>
          <w:b/>
        </w:rPr>
      </w:pPr>
      <w:r w:rsidRPr="003A243E">
        <w:rPr>
          <w:rFonts w:ascii="Times New Roman" w:hAnsi="Times New Roman" w:cs="Times New Roman"/>
          <w:b/>
        </w:rPr>
        <w:lastRenderedPageBreak/>
        <w:t>图</w:t>
      </w:r>
      <w:r w:rsidRPr="003A243E">
        <w:rPr>
          <w:rFonts w:ascii="Times New Roman" w:hAnsi="Times New Roman" w:cs="Times New Roman"/>
          <w:b/>
        </w:rPr>
        <w:t>1</w:t>
      </w:r>
      <w:r w:rsidRPr="003A243E">
        <w:rPr>
          <w:rFonts w:ascii="Times New Roman" w:hAnsi="Times New Roman" w:cs="Times New Roman"/>
          <w:b/>
        </w:rPr>
        <w:t>：</w:t>
      </w:r>
      <w:r w:rsidR="002B7EB0">
        <w:rPr>
          <w:rFonts w:ascii="Times New Roman" w:hAnsi="Times New Roman" w:cs="Times New Roman" w:hint="eastAsia"/>
          <w:b/>
        </w:rPr>
        <w:t>全国</w:t>
      </w:r>
      <w:r w:rsidRPr="003A243E">
        <w:rPr>
          <w:rFonts w:ascii="Times New Roman" w:hAnsi="Times New Roman" w:cs="Times New Roman"/>
          <w:b/>
        </w:rPr>
        <w:t>35</w:t>
      </w:r>
      <w:r w:rsidRPr="003A243E">
        <w:rPr>
          <w:rFonts w:ascii="Times New Roman" w:hAnsi="Times New Roman" w:cs="Times New Roman"/>
          <w:b/>
        </w:rPr>
        <w:t>个大中城市</w:t>
      </w:r>
    </w:p>
    <w:p w:rsidR="001863D8" w:rsidRPr="003A243E" w:rsidRDefault="001863D8" w:rsidP="00FE7D71">
      <w:pPr>
        <w:spacing w:beforeLines="50" w:before="156" w:afterLines="50" w:after="156" w:line="360" w:lineRule="auto"/>
        <w:rPr>
          <w:rFonts w:ascii="Times New Roman" w:hAnsi="Times New Roman" w:cs="Times New Roman"/>
        </w:rPr>
      </w:pPr>
      <w:r w:rsidRPr="003A243E">
        <w:rPr>
          <w:rFonts w:ascii="Times New Roman" w:hAnsi="Times New Roman" w:cs="Times New Roman"/>
          <w:noProof/>
        </w:rPr>
        <w:drawing>
          <wp:anchor distT="0" distB="0" distL="114300" distR="114300" simplePos="0" relativeHeight="251659264" behindDoc="0" locked="0" layoutInCell="1" allowOverlap="1">
            <wp:simplePos x="0" y="0"/>
            <wp:positionH relativeFrom="margin">
              <wp:posOffset>85650</wp:posOffset>
            </wp:positionH>
            <wp:positionV relativeFrom="paragraph">
              <wp:posOffset>3319704</wp:posOffset>
            </wp:positionV>
            <wp:extent cx="1780825" cy="967839"/>
            <wp:effectExtent l="0" t="0" r="0" b="381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80825" cy="967839"/>
                    </a:xfrm>
                    <a:prstGeom prst="rect">
                      <a:avLst/>
                    </a:prstGeom>
                  </pic:spPr>
                </pic:pic>
              </a:graphicData>
            </a:graphic>
          </wp:anchor>
        </w:drawing>
      </w:r>
      <w:r w:rsidRPr="003A243E">
        <w:rPr>
          <w:rFonts w:ascii="Times New Roman" w:hAnsi="Times New Roman" w:cs="Times New Roman"/>
          <w:noProof/>
        </w:rPr>
        <w:drawing>
          <wp:inline distT="0" distB="0" distL="0" distR="0">
            <wp:extent cx="5533493" cy="4215741"/>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5537658" cy="4218914"/>
                    </a:xfrm>
                    <a:prstGeom prst="rect">
                      <a:avLst/>
                    </a:prstGeom>
                  </pic:spPr>
                </pic:pic>
              </a:graphicData>
            </a:graphic>
          </wp:inline>
        </w:drawing>
      </w:r>
    </w:p>
    <w:p w:rsidR="001863D8" w:rsidRPr="003A243E" w:rsidRDefault="001863D8" w:rsidP="00FE7D71">
      <w:pPr>
        <w:spacing w:beforeLines="50" w:before="156" w:afterLines="50" w:after="156" w:line="360" w:lineRule="auto"/>
        <w:rPr>
          <w:rFonts w:ascii="Times New Roman" w:hAnsi="Times New Roman" w:cs="Times New Roman"/>
        </w:rPr>
      </w:pPr>
      <w:r w:rsidRPr="003A243E">
        <w:rPr>
          <w:rFonts w:ascii="Times New Roman" w:hAnsi="Times New Roman" w:cs="Times New Roman"/>
        </w:rPr>
        <w:br w:type="page"/>
      </w:r>
    </w:p>
    <w:p w:rsidR="001863D8" w:rsidRPr="003A243E" w:rsidRDefault="001863D8" w:rsidP="00FE7D71">
      <w:pPr>
        <w:spacing w:beforeLines="50" w:before="156" w:afterLines="50" w:after="156" w:line="360" w:lineRule="auto"/>
        <w:jc w:val="center"/>
        <w:rPr>
          <w:rFonts w:ascii="Times New Roman" w:hAnsi="Times New Roman" w:cs="Times New Roman"/>
          <w:b/>
        </w:rPr>
      </w:pPr>
      <w:r w:rsidRPr="003A243E">
        <w:rPr>
          <w:rFonts w:ascii="Times New Roman" w:hAnsi="Times New Roman" w:cs="Times New Roman"/>
          <w:b/>
        </w:rPr>
        <w:lastRenderedPageBreak/>
        <w:t>图</w:t>
      </w:r>
      <w:r w:rsidRPr="003A243E">
        <w:rPr>
          <w:rFonts w:ascii="Times New Roman" w:hAnsi="Times New Roman" w:cs="Times New Roman"/>
          <w:b/>
        </w:rPr>
        <w:t>2: 35</w:t>
      </w:r>
      <w:r w:rsidRPr="003A243E">
        <w:rPr>
          <w:rFonts w:ascii="Times New Roman" w:hAnsi="Times New Roman" w:cs="Times New Roman"/>
          <w:b/>
        </w:rPr>
        <w:t>个大中城市的住房交易市场份额</w:t>
      </w:r>
    </w:p>
    <w:p w:rsidR="001863D8" w:rsidRPr="003A243E" w:rsidRDefault="002B7BC8" w:rsidP="00FE7D71">
      <w:pPr>
        <w:spacing w:beforeLines="50" w:before="156" w:afterLines="50" w:after="156" w:line="360" w:lineRule="auto"/>
        <w:jc w:val="center"/>
        <w:rPr>
          <w:rFonts w:ascii="Times New Roman" w:hAnsi="Times New Roman" w:cs="Times New Roman"/>
        </w:rPr>
      </w:pPr>
      <w:r>
        <w:rPr>
          <w:noProof/>
        </w:rPr>
        <w:drawing>
          <wp:inline distT="0" distB="0" distL="0" distR="0" wp14:anchorId="3C4F1711" wp14:editId="4134B8D9">
            <wp:extent cx="4818184" cy="2725616"/>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7EB0" w:rsidRDefault="001863D8" w:rsidP="00FE7D71">
      <w:pPr>
        <w:spacing w:beforeLines="50" w:before="156" w:afterLines="50" w:after="156" w:line="360" w:lineRule="auto"/>
        <w:rPr>
          <w:rFonts w:ascii="Times New Roman" w:hAnsi="Times New Roman" w:cs="Times New Roman"/>
          <w:sz w:val="20"/>
        </w:rPr>
      </w:pPr>
      <w:r w:rsidRPr="003A243E">
        <w:rPr>
          <w:rFonts w:ascii="Times New Roman" w:hAnsi="Times New Roman" w:cs="Times New Roman"/>
          <w:sz w:val="20"/>
        </w:rPr>
        <w:t>数据来源：根据中国国家统计局公开发布的统计数据统计得到</w:t>
      </w:r>
    </w:p>
    <w:p w:rsidR="002B7EB0" w:rsidRDefault="002B7EB0">
      <w:pPr>
        <w:widowControl/>
        <w:jc w:val="left"/>
        <w:rPr>
          <w:rFonts w:ascii="Times New Roman" w:hAnsi="Times New Roman" w:cs="Times New Roman"/>
          <w:sz w:val="20"/>
        </w:rPr>
      </w:pPr>
      <w:r>
        <w:rPr>
          <w:rFonts w:ascii="Times New Roman" w:hAnsi="Times New Roman" w:cs="Times New Roman"/>
          <w:sz w:val="20"/>
        </w:rPr>
        <w:br w:type="page"/>
      </w:r>
    </w:p>
    <w:p w:rsidR="001863D8" w:rsidRPr="003A243E" w:rsidRDefault="001863D8" w:rsidP="00FE7D71">
      <w:pPr>
        <w:spacing w:beforeLines="50" w:before="156" w:afterLines="50" w:after="156" w:line="360" w:lineRule="auto"/>
        <w:jc w:val="center"/>
        <w:rPr>
          <w:rFonts w:ascii="Times New Roman" w:hAnsi="Times New Roman" w:cs="Times New Roman"/>
          <w:b/>
        </w:rPr>
      </w:pPr>
      <w:r w:rsidRPr="002B7EB0">
        <w:rPr>
          <w:rFonts w:ascii="Times New Roman" w:hAnsi="Times New Roman" w:cs="Times New Roman"/>
          <w:b/>
        </w:rPr>
        <w:lastRenderedPageBreak/>
        <w:t>表</w:t>
      </w:r>
      <w:r w:rsidRPr="002B7EB0">
        <w:rPr>
          <w:rFonts w:ascii="Times New Roman" w:hAnsi="Times New Roman" w:cs="Times New Roman"/>
          <w:b/>
        </w:rPr>
        <w:t>1</w:t>
      </w:r>
      <w:r w:rsidRPr="002B7EB0">
        <w:rPr>
          <w:rFonts w:ascii="Times New Roman" w:hAnsi="Times New Roman" w:cs="Times New Roman"/>
          <w:b/>
        </w:rPr>
        <w:t>：</w:t>
      </w:r>
      <w:r w:rsidRPr="003A243E">
        <w:rPr>
          <w:rFonts w:ascii="Times New Roman" w:hAnsi="Times New Roman" w:cs="Times New Roman"/>
          <w:b/>
        </w:rPr>
        <w:t>中国居住用地价格指数体系</w:t>
      </w:r>
    </w:p>
    <w:tbl>
      <w:tblPr>
        <w:tblStyle w:val="a9"/>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574"/>
        <w:gridCol w:w="2450"/>
        <w:gridCol w:w="2946"/>
      </w:tblGrid>
      <w:tr w:rsidR="001863D8" w:rsidRPr="00E94F92" w:rsidTr="000E21A0">
        <w:trPr>
          <w:jc w:val="center"/>
        </w:trPr>
        <w:tc>
          <w:tcPr>
            <w:tcW w:w="2910" w:type="dxa"/>
            <w:gridSpan w:val="2"/>
            <w:tcBorders>
              <w:bottom w:val="single" w:sz="4" w:space="0" w:color="auto"/>
            </w:tcBorders>
          </w:tcPr>
          <w:p w:rsidR="001863D8" w:rsidRPr="00E94F92" w:rsidRDefault="001863D8" w:rsidP="002B7EB0">
            <w:pPr>
              <w:jc w:val="center"/>
              <w:rPr>
                <w:rFonts w:ascii="Times New Roman" w:hAnsi="Times New Roman" w:cs="Times New Roman"/>
                <w:b/>
                <w:lang w:eastAsia="zh-CN"/>
              </w:rPr>
            </w:pPr>
            <w:r w:rsidRPr="00E94F92">
              <w:rPr>
                <w:rFonts w:ascii="Times New Roman" w:hAnsi="Times New Roman" w:cs="Times New Roman"/>
                <w:b/>
                <w:lang w:eastAsia="zh-CN"/>
              </w:rPr>
              <w:t>指数</w:t>
            </w:r>
          </w:p>
        </w:tc>
        <w:tc>
          <w:tcPr>
            <w:tcW w:w="2450" w:type="dxa"/>
            <w:tcBorders>
              <w:bottom w:val="single" w:sz="4" w:space="0" w:color="auto"/>
            </w:tcBorders>
          </w:tcPr>
          <w:p w:rsidR="001863D8" w:rsidRPr="00E94F92" w:rsidRDefault="001863D8" w:rsidP="002B7EB0">
            <w:pPr>
              <w:jc w:val="center"/>
              <w:rPr>
                <w:rFonts w:ascii="Times New Roman" w:hAnsi="Times New Roman" w:cs="Times New Roman"/>
                <w:b/>
                <w:lang w:eastAsia="zh-CN"/>
              </w:rPr>
            </w:pPr>
            <w:r w:rsidRPr="00E94F92">
              <w:rPr>
                <w:rFonts w:ascii="Times New Roman" w:hAnsi="Times New Roman" w:cs="Times New Roman"/>
                <w:b/>
                <w:lang w:eastAsia="zh-CN"/>
              </w:rPr>
              <w:t>发布频率</w:t>
            </w:r>
          </w:p>
        </w:tc>
        <w:tc>
          <w:tcPr>
            <w:tcW w:w="2946" w:type="dxa"/>
            <w:tcBorders>
              <w:bottom w:val="single" w:sz="4" w:space="0" w:color="auto"/>
            </w:tcBorders>
          </w:tcPr>
          <w:p w:rsidR="001863D8" w:rsidRPr="00E94F92" w:rsidRDefault="001863D8" w:rsidP="002B7EB0">
            <w:pPr>
              <w:jc w:val="center"/>
              <w:rPr>
                <w:rFonts w:ascii="Times New Roman" w:hAnsi="Times New Roman" w:cs="Times New Roman"/>
                <w:b/>
                <w:lang w:eastAsia="zh-CN"/>
              </w:rPr>
            </w:pPr>
            <w:r w:rsidRPr="00E94F92">
              <w:rPr>
                <w:rFonts w:ascii="Times New Roman" w:hAnsi="Times New Roman" w:cs="Times New Roman"/>
                <w:b/>
                <w:lang w:eastAsia="zh-CN"/>
              </w:rPr>
              <w:t>起始时间</w:t>
            </w:r>
          </w:p>
        </w:tc>
      </w:tr>
      <w:tr w:rsidR="001863D8" w:rsidRPr="003A243E" w:rsidTr="000E21A0">
        <w:trPr>
          <w:jc w:val="center"/>
        </w:trPr>
        <w:tc>
          <w:tcPr>
            <w:tcW w:w="2910" w:type="dxa"/>
            <w:gridSpan w:val="2"/>
            <w:tcBorders>
              <w:top w:val="nil"/>
              <w:bottom w:val="single" w:sz="4" w:space="0" w:color="auto"/>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全国层面</w:t>
            </w:r>
          </w:p>
        </w:tc>
        <w:tc>
          <w:tcPr>
            <w:tcW w:w="2450" w:type="dxa"/>
            <w:tcBorders>
              <w:top w:val="nil"/>
              <w:bottom w:val="single" w:sz="4" w:space="0" w:color="auto"/>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季度</w:t>
            </w:r>
          </w:p>
        </w:tc>
        <w:tc>
          <w:tcPr>
            <w:tcW w:w="2946" w:type="dxa"/>
            <w:tcBorders>
              <w:top w:val="nil"/>
              <w:bottom w:val="single" w:sz="4" w:space="0" w:color="auto"/>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r w:rsidRPr="003A243E">
              <w:rPr>
                <w:rFonts w:ascii="Times New Roman" w:hAnsi="Times New Roman" w:cs="Times New Roman"/>
                <w:lang w:eastAsia="zh-CN"/>
              </w:rPr>
              <w:t>年第</w:t>
            </w:r>
            <w:r w:rsidRPr="003A243E">
              <w:rPr>
                <w:rFonts w:ascii="Times New Roman" w:hAnsi="Times New Roman" w:cs="Times New Roman"/>
                <w:lang w:eastAsia="zh-CN"/>
              </w:rPr>
              <w:t>1</w:t>
            </w:r>
            <w:r w:rsidRPr="003A243E">
              <w:rPr>
                <w:rFonts w:ascii="Times New Roman" w:hAnsi="Times New Roman" w:cs="Times New Roman"/>
                <w:lang w:eastAsia="zh-CN"/>
              </w:rPr>
              <w:t>季度</w:t>
            </w:r>
          </w:p>
        </w:tc>
      </w:tr>
      <w:tr w:rsidR="001863D8" w:rsidRPr="003A243E" w:rsidTr="000E21A0">
        <w:trPr>
          <w:jc w:val="center"/>
        </w:trPr>
        <w:tc>
          <w:tcPr>
            <w:tcW w:w="1336" w:type="dxa"/>
            <w:vMerge w:val="restart"/>
            <w:tcBorders>
              <w:top w:val="single" w:sz="4" w:space="0" w:color="auto"/>
              <w:bottom w:val="nil"/>
            </w:tcBorders>
            <w:vAlign w:val="center"/>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区域层面</w:t>
            </w:r>
          </w:p>
        </w:tc>
        <w:tc>
          <w:tcPr>
            <w:tcW w:w="1574" w:type="dxa"/>
            <w:tcBorders>
              <w:top w:val="single" w:sz="4" w:space="0" w:color="auto"/>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东部</w:t>
            </w:r>
          </w:p>
        </w:tc>
        <w:tc>
          <w:tcPr>
            <w:tcW w:w="2450" w:type="dxa"/>
            <w:tcBorders>
              <w:top w:val="single" w:sz="4" w:space="0" w:color="auto"/>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半年</w:t>
            </w:r>
          </w:p>
        </w:tc>
        <w:tc>
          <w:tcPr>
            <w:tcW w:w="2946" w:type="dxa"/>
            <w:tcBorders>
              <w:top w:val="single" w:sz="4" w:space="0" w:color="auto"/>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r w:rsidRPr="003A243E">
              <w:rPr>
                <w:rFonts w:ascii="Times New Roman" w:hAnsi="Times New Roman" w:cs="Times New Roman"/>
                <w:lang w:eastAsia="zh-CN"/>
              </w:rPr>
              <w:t>年上半年</w:t>
            </w:r>
          </w:p>
        </w:tc>
      </w:tr>
      <w:tr w:rsidR="001863D8" w:rsidRPr="003A243E" w:rsidTr="000E21A0">
        <w:trPr>
          <w:jc w:val="center"/>
        </w:trPr>
        <w:tc>
          <w:tcPr>
            <w:tcW w:w="1336" w:type="dxa"/>
            <w:vMerge/>
            <w:tcBorders>
              <w:top w:val="nil"/>
              <w:bottom w:val="nil"/>
            </w:tcBorders>
            <w:vAlign w:val="center"/>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中部</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半年</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r w:rsidRPr="003A243E">
              <w:rPr>
                <w:rFonts w:ascii="Times New Roman" w:hAnsi="Times New Roman" w:cs="Times New Roman"/>
                <w:lang w:eastAsia="zh-CN"/>
              </w:rPr>
              <w:t>年上半年</w:t>
            </w:r>
          </w:p>
        </w:tc>
      </w:tr>
      <w:tr w:rsidR="001863D8" w:rsidRPr="003A243E" w:rsidTr="000E21A0">
        <w:trPr>
          <w:jc w:val="center"/>
        </w:trPr>
        <w:tc>
          <w:tcPr>
            <w:tcW w:w="1336" w:type="dxa"/>
            <w:vMerge/>
            <w:tcBorders>
              <w:top w:val="nil"/>
              <w:bottom w:val="single" w:sz="4" w:space="0" w:color="auto"/>
            </w:tcBorders>
            <w:vAlign w:val="center"/>
          </w:tcPr>
          <w:p w:rsidR="001863D8" w:rsidRPr="003A243E" w:rsidRDefault="001863D8" w:rsidP="00670703">
            <w:pPr>
              <w:rPr>
                <w:rFonts w:ascii="Times New Roman" w:hAnsi="Times New Roman" w:cs="Times New Roman"/>
              </w:rPr>
            </w:pPr>
          </w:p>
        </w:tc>
        <w:tc>
          <w:tcPr>
            <w:tcW w:w="1574" w:type="dxa"/>
            <w:tcBorders>
              <w:top w:val="nil"/>
              <w:bottom w:val="single" w:sz="4" w:space="0" w:color="auto"/>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西部</w:t>
            </w:r>
          </w:p>
        </w:tc>
        <w:tc>
          <w:tcPr>
            <w:tcW w:w="2450" w:type="dxa"/>
            <w:tcBorders>
              <w:top w:val="nil"/>
              <w:bottom w:val="single" w:sz="4" w:space="0" w:color="auto"/>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半年</w:t>
            </w:r>
          </w:p>
        </w:tc>
        <w:tc>
          <w:tcPr>
            <w:tcW w:w="2946" w:type="dxa"/>
            <w:tcBorders>
              <w:top w:val="nil"/>
              <w:bottom w:val="single" w:sz="4" w:space="0" w:color="auto"/>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r w:rsidRPr="003A243E">
              <w:rPr>
                <w:rFonts w:ascii="Times New Roman" w:hAnsi="Times New Roman" w:cs="Times New Roman"/>
                <w:lang w:eastAsia="zh-CN"/>
              </w:rPr>
              <w:t>年上半年</w:t>
            </w:r>
          </w:p>
        </w:tc>
      </w:tr>
      <w:tr w:rsidR="001863D8" w:rsidRPr="003A243E" w:rsidTr="000E21A0">
        <w:trPr>
          <w:jc w:val="center"/>
        </w:trPr>
        <w:tc>
          <w:tcPr>
            <w:tcW w:w="1336" w:type="dxa"/>
            <w:vMerge w:val="restart"/>
            <w:tcBorders>
              <w:top w:val="single" w:sz="4" w:space="0" w:color="auto"/>
            </w:tcBorders>
            <w:vAlign w:val="center"/>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城市层面</w:t>
            </w:r>
          </w:p>
        </w:tc>
        <w:tc>
          <w:tcPr>
            <w:tcW w:w="1574" w:type="dxa"/>
            <w:tcBorders>
              <w:top w:val="single" w:sz="4" w:space="0" w:color="auto"/>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北京</w:t>
            </w:r>
          </w:p>
        </w:tc>
        <w:tc>
          <w:tcPr>
            <w:tcW w:w="2450" w:type="dxa"/>
            <w:tcBorders>
              <w:top w:val="single" w:sz="4" w:space="0" w:color="auto"/>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single" w:sz="4" w:space="0" w:color="auto"/>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天津</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大连</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上海</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sz w:val="21"/>
                <w:lang w:eastAsia="zh-CN"/>
              </w:rPr>
            </w:pPr>
            <w:r w:rsidRPr="003A243E">
              <w:rPr>
                <w:rFonts w:ascii="Times New Roman" w:hAnsi="Times New Roman" w:cs="Times New Roman"/>
                <w:lang w:eastAsia="zh-CN"/>
              </w:rPr>
              <w:t>2006</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南京</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杭州</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武汉</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长沙</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广州</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2007</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重庆</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Pr>
          <w:p w:rsidR="001863D8" w:rsidRPr="003A243E" w:rsidRDefault="001863D8" w:rsidP="00670703">
            <w:pPr>
              <w:rPr>
                <w:rFonts w:ascii="Times New Roman" w:hAnsi="Times New Roman" w:cs="Times New Roman"/>
              </w:rPr>
            </w:pPr>
          </w:p>
        </w:tc>
        <w:tc>
          <w:tcPr>
            <w:tcW w:w="1574" w:type="dxa"/>
            <w:tcBorders>
              <w:top w:val="nil"/>
              <w:bottom w:val="nil"/>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成都</w:t>
            </w:r>
          </w:p>
        </w:tc>
        <w:tc>
          <w:tcPr>
            <w:tcW w:w="2450" w:type="dxa"/>
            <w:tcBorders>
              <w:top w:val="nil"/>
              <w:bottom w:val="nil"/>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nil"/>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2004</w:t>
            </w:r>
          </w:p>
        </w:tc>
      </w:tr>
      <w:tr w:rsidR="001863D8" w:rsidRPr="003A243E" w:rsidTr="000E21A0">
        <w:trPr>
          <w:jc w:val="center"/>
        </w:trPr>
        <w:tc>
          <w:tcPr>
            <w:tcW w:w="1336" w:type="dxa"/>
            <w:vMerge/>
            <w:tcBorders>
              <w:bottom w:val="single" w:sz="12" w:space="0" w:color="auto"/>
            </w:tcBorders>
          </w:tcPr>
          <w:p w:rsidR="001863D8" w:rsidRPr="003A243E" w:rsidRDefault="001863D8" w:rsidP="00670703">
            <w:pPr>
              <w:rPr>
                <w:rFonts w:ascii="Times New Roman" w:hAnsi="Times New Roman" w:cs="Times New Roman"/>
              </w:rPr>
            </w:pPr>
          </w:p>
        </w:tc>
        <w:tc>
          <w:tcPr>
            <w:tcW w:w="1574" w:type="dxa"/>
            <w:tcBorders>
              <w:top w:val="nil"/>
              <w:bottom w:val="single" w:sz="12" w:space="0" w:color="auto"/>
            </w:tcBorders>
          </w:tcPr>
          <w:p w:rsidR="001863D8" w:rsidRPr="003A243E" w:rsidRDefault="001863D8" w:rsidP="00670703">
            <w:pPr>
              <w:rPr>
                <w:rFonts w:ascii="Times New Roman" w:hAnsi="Times New Roman" w:cs="Times New Roman"/>
                <w:lang w:eastAsia="zh-CN"/>
              </w:rPr>
            </w:pPr>
            <w:r w:rsidRPr="003A243E">
              <w:rPr>
                <w:rFonts w:ascii="Times New Roman" w:hAnsi="Times New Roman" w:cs="Times New Roman"/>
                <w:lang w:eastAsia="zh-CN"/>
              </w:rPr>
              <w:t>西安</w:t>
            </w:r>
          </w:p>
        </w:tc>
        <w:tc>
          <w:tcPr>
            <w:tcW w:w="2450" w:type="dxa"/>
            <w:tcBorders>
              <w:top w:val="nil"/>
              <w:bottom w:val="single" w:sz="12" w:space="0" w:color="auto"/>
            </w:tcBorders>
            <w:vAlign w:val="center"/>
          </w:tcPr>
          <w:p w:rsidR="001863D8" w:rsidRPr="003A243E" w:rsidRDefault="001863D8" w:rsidP="000E21A0">
            <w:pPr>
              <w:ind w:rightChars="253" w:right="531"/>
              <w:jc w:val="right"/>
              <w:rPr>
                <w:rFonts w:ascii="Times New Roman" w:hAnsi="Times New Roman" w:cs="Times New Roman"/>
                <w:lang w:eastAsia="zh-CN"/>
              </w:rPr>
            </w:pPr>
            <w:r w:rsidRPr="003A243E">
              <w:rPr>
                <w:rFonts w:ascii="Times New Roman" w:hAnsi="Times New Roman" w:cs="Times New Roman"/>
                <w:lang w:eastAsia="zh-CN"/>
              </w:rPr>
              <w:t>年度</w:t>
            </w:r>
          </w:p>
        </w:tc>
        <w:tc>
          <w:tcPr>
            <w:tcW w:w="2946" w:type="dxa"/>
            <w:tcBorders>
              <w:top w:val="nil"/>
              <w:bottom w:val="single" w:sz="12" w:space="0" w:color="auto"/>
            </w:tcBorders>
            <w:vAlign w:val="center"/>
          </w:tcPr>
          <w:p w:rsidR="001863D8" w:rsidRPr="003A243E" w:rsidRDefault="001863D8" w:rsidP="000E21A0">
            <w:pPr>
              <w:ind w:rightChars="254" w:right="533"/>
              <w:jc w:val="right"/>
              <w:rPr>
                <w:rFonts w:ascii="Times New Roman" w:hAnsi="Times New Roman" w:cs="Times New Roman"/>
                <w:lang w:eastAsia="zh-CN"/>
              </w:rPr>
            </w:pPr>
            <w:r w:rsidRPr="003A243E">
              <w:rPr>
                <w:rFonts w:ascii="Times New Roman" w:hAnsi="Times New Roman" w:cs="Times New Roman"/>
                <w:lang w:eastAsia="zh-CN"/>
              </w:rPr>
              <w:t>2007</w:t>
            </w:r>
          </w:p>
        </w:tc>
      </w:tr>
    </w:tbl>
    <w:p w:rsidR="001863D8" w:rsidRPr="003A243E" w:rsidRDefault="001863D8" w:rsidP="00FE7D71">
      <w:pPr>
        <w:spacing w:beforeLines="50" w:before="156" w:afterLines="50" w:after="156" w:line="276" w:lineRule="auto"/>
        <w:rPr>
          <w:rFonts w:ascii="Times New Roman" w:hAnsi="Times New Roman" w:cs="Times New Roman"/>
        </w:rPr>
      </w:pPr>
      <w:r w:rsidRPr="003A243E">
        <w:rPr>
          <w:rFonts w:ascii="Times New Roman" w:hAnsi="Times New Roman" w:cs="Times New Roman"/>
        </w:rPr>
        <w:t>注释：</w:t>
      </w:r>
      <w:r w:rsidRPr="003A243E">
        <w:rPr>
          <w:rFonts w:ascii="Times New Roman" w:cs="Times New Roman"/>
        </w:rPr>
        <w:t>东部区域包含</w:t>
      </w:r>
      <w:r w:rsidRPr="003A243E">
        <w:rPr>
          <w:rFonts w:ascii="Times New Roman" w:hAnsi="Times New Roman" w:cs="Times New Roman"/>
        </w:rPr>
        <w:t>16</w:t>
      </w:r>
      <w:r w:rsidRPr="003A243E">
        <w:rPr>
          <w:rFonts w:ascii="Times New Roman" w:cs="Times New Roman"/>
        </w:rPr>
        <w:t>个城市：北京、天津、石家庄、沈阳、大连、上海、南京、杭州、宁波、福州、厦门、济南、青岛、广州、深圳和海口。中部区域包含</w:t>
      </w:r>
      <w:r w:rsidRPr="003A243E">
        <w:rPr>
          <w:rFonts w:ascii="Times New Roman" w:hAnsi="Times New Roman" w:cs="Times New Roman"/>
        </w:rPr>
        <w:t>8</w:t>
      </w:r>
      <w:r w:rsidRPr="003A243E">
        <w:rPr>
          <w:rFonts w:ascii="Times New Roman" w:cs="Times New Roman"/>
        </w:rPr>
        <w:t>个城市：太原、长春、哈尔滨、合肥、南昌、郑州、武汉和长沙。西部区域包含</w:t>
      </w:r>
      <w:r w:rsidRPr="003A243E">
        <w:rPr>
          <w:rFonts w:ascii="Times New Roman" w:hAnsi="Times New Roman" w:cs="Times New Roman"/>
        </w:rPr>
        <w:t>11</w:t>
      </w:r>
      <w:r w:rsidRPr="003A243E">
        <w:rPr>
          <w:rFonts w:ascii="Times New Roman" w:cs="Times New Roman"/>
        </w:rPr>
        <w:t>个城市：呼和浩特、南宁、重庆、成都、贵阳、昆明、西安、兰州、西宁、银川和乌鲁木齐。全国层面的指数包含全部</w:t>
      </w:r>
      <w:r w:rsidRPr="003A243E">
        <w:rPr>
          <w:rFonts w:ascii="Times New Roman" w:hAnsi="Times New Roman" w:cs="Times New Roman"/>
        </w:rPr>
        <w:t>35</w:t>
      </w:r>
      <w:r w:rsidRPr="003A243E">
        <w:rPr>
          <w:rFonts w:ascii="Times New Roman" w:cs="Times New Roman"/>
        </w:rPr>
        <w:t>个城市。</w:t>
      </w:r>
    </w:p>
    <w:p w:rsidR="002B7EB0" w:rsidRDefault="002B7EB0">
      <w:pPr>
        <w:widowControl/>
        <w:jc w:val="left"/>
        <w:rPr>
          <w:rFonts w:ascii="Times New Roman" w:hAnsi="Times New Roman" w:cs="Times New Roman"/>
          <w:b/>
        </w:rPr>
      </w:pPr>
      <w:r>
        <w:rPr>
          <w:rFonts w:ascii="Times New Roman" w:hAnsi="Times New Roman" w:cs="Times New Roman"/>
          <w:b/>
        </w:rPr>
        <w:br w:type="page"/>
      </w:r>
    </w:p>
    <w:p w:rsidR="001863D8" w:rsidRPr="003A243E" w:rsidRDefault="001863D8" w:rsidP="00FE7D71">
      <w:pPr>
        <w:spacing w:beforeLines="50" w:before="156" w:afterLines="50" w:after="156" w:line="360" w:lineRule="auto"/>
        <w:jc w:val="center"/>
        <w:rPr>
          <w:rFonts w:ascii="Times New Roman" w:hAnsi="Times New Roman" w:cs="Times New Roman"/>
          <w:b/>
        </w:rPr>
      </w:pPr>
      <w:r w:rsidRPr="003A243E">
        <w:rPr>
          <w:rFonts w:ascii="Times New Roman" w:hAnsi="Times New Roman" w:cs="Times New Roman"/>
          <w:b/>
        </w:rPr>
        <w:lastRenderedPageBreak/>
        <w:t>表</w:t>
      </w:r>
      <w:r w:rsidRPr="003A243E">
        <w:rPr>
          <w:rFonts w:ascii="Times New Roman" w:hAnsi="Times New Roman" w:cs="Times New Roman"/>
          <w:b/>
        </w:rPr>
        <w:t>2</w:t>
      </w:r>
      <w:r w:rsidRPr="003A243E">
        <w:rPr>
          <w:rFonts w:ascii="Times New Roman" w:hAnsi="Times New Roman" w:cs="Times New Roman"/>
          <w:b/>
        </w:rPr>
        <w:t>：</w:t>
      </w:r>
      <w:r w:rsidR="00BD247F">
        <w:rPr>
          <w:rFonts w:ascii="Times New Roman" w:hAnsi="Times New Roman" w:cs="Times New Roman"/>
          <w:b/>
        </w:rPr>
        <w:t>指数在</w:t>
      </w:r>
      <w:r w:rsidRPr="003A243E">
        <w:rPr>
          <w:rFonts w:ascii="Times New Roman" w:hAnsi="Times New Roman" w:cs="Times New Roman"/>
          <w:b/>
        </w:rPr>
        <w:t>每个城市</w:t>
      </w:r>
      <w:r w:rsidR="00BD247F">
        <w:rPr>
          <w:rFonts w:ascii="Times New Roman" w:hAnsi="Times New Roman" w:cs="Times New Roman"/>
          <w:b/>
        </w:rPr>
        <w:t>所</w:t>
      </w:r>
      <w:r w:rsidR="00BD247F">
        <w:rPr>
          <w:rFonts w:ascii="Times New Roman" w:hAnsi="Times New Roman" w:cs="Times New Roman" w:hint="eastAsia"/>
          <w:b/>
        </w:rPr>
        <w:t>包含</w:t>
      </w:r>
      <w:r w:rsidRPr="003A243E">
        <w:rPr>
          <w:rFonts w:ascii="Times New Roman" w:hAnsi="Times New Roman" w:cs="Times New Roman"/>
          <w:b/>
        </w:rPr>
        <w:t>区县</w:t>
      </w:r>
    </w:p>
    <w:tbl>
      <w:tblPr>
        <w:tblStyle w:val="a9"/>
        <w:tblW w:w="9752" w:type="dxa"/>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68"/>
        <w:gridCol w:w="8484"/>
      </w:tblGrid>
      <w:tr w:rsidR="00F47240" w:rsidRPr="00E94F92" w:rsidTr="00D23CC6">
        <w:trPr>
          <w:tblHeader/>
          <w:jc w:val="center"/>
        </w:trPr>
        <w:tc>
          <w:tcPr>
            <w:tcW w:w="1268" w:type="dxa"/>
            <w:tcBorders>
              <w:bottom w:val="single" w:sz="4" w:space="0" w:color="auto"/>
            </w:tcBorders>
          </w:tcPr>
          <w:p w:rsidR="00F47240" w:rsidRPr="00E94F92" w:rsidRDefault="00F47240" w:rsidP="00670703">
            <w:pPr>
              <w:jc w:val="center"/>
              <w:rPr>
                <w:rFonts w:ascii="Times New Roman" w:hAnsi="Times New Roman" w:cs="Times New Roman"/>
                <w:b/>
                <w:lang w:eastAsia="zh-CN"/>
              </w:rPr>
            </w:pPr>
            <w:r w:rsidRPr="00E94F92">
              <w:rPr>
                <w:rFonts w:ascii="Times New Roman" w:hAnsi="Times New Roman" w:cs="Times New Roman"/>
                <w:b/>
                <w:lang w:eastAsia="zh-CN"/>
              </w:rPr>
              <w:t>城市</w:t>
            </w:r>
          </w:p>
        </w:tc>
        <w:tc>
          <w:tcPr>
            <w:tcW w:w="8484" w:type="dxa"/>
            <w:tcBorders>
              <w:bottom w:val="single" w:sz="4" w:space="0" w:color="auto"/>
            </w:tcBorders>
          </w:tcPr>
          <w:p w:rsidR="00F47240" w:rsidRPr="00E94F92" w:rsidRDefault="00F47240" w:rsidP="00670703">
            <w:pPr>
              <w:jc w:val="center"/>
              <w:rPr>
                <w:rFonts w:ascii="Times New Roman" w:hAnsi="Times New Roman" w:cs="Times New Roman"/>
                <w:b/>
                <w:lang w:eastAsia="zh-CN"/>
              </w:rPr>
            </w:pPr>
            <w:r w:rsidRPr="00E94F92">
              <w:rPr>
                <w:rFonts w:ascii="Times New Roman" w:hAnsi="Times New Roman" w:cs="Times New Roman"/>
                <w:b/>
                <w:lang w:eastAsia="zh-CN"/>
              </w:rPr>
              <w:t>所含区县</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北京</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11</w:t>
            </w:r>
            <w:r w:rsidRPr="003A243E">
              <w:rPr>
                <w:rFonts w:ascii="Times New Roman" w:hAnsi="Times New Roman" w:cs="Times New Roman"/>
                <w:lang w:eastAsia="zh-CN"/>
              </w:rPr>
              <w:t>个区县：昌平、朝阳、大兴、东城、房山、丰台、海淀、石景山、顺义、通州、西城</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天津</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11</w:t>
            </w:r>
            <w:r w:rsidRPr="003A243E">
              <w:rPr>
                <w:rFonts w:ascii="Times New Roman" w:hAnsi="Times New Roman" w:cs="Times New Roman"/>
                <w:lang w:eastAsia="zh-CN"/>
              </w:rPr>
              <w:t>个区县：北辰、东丽、河北、河东、和平、河西、红桥、津南、南开、塘沽、西青</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石家庄</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4</w:t>
            </w:r>
            <w:r w:rsidRPr="003A243E">
              <w:rPr>
                <w:rFonts w:ascii="Times New Roman" w:hAnsi="Times New Roman" w:cs="Times New Roman"/>
                <w:lang w:eastAsia="zh-CN"/>
              </w:rPr>
              <w:t>个区县：桥东、桥西、新华、长安</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太原</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6</w:t>
            </w:r>
            <w:r w:rsidRPr="003A243E">
              <w:rPr>
                <w:rFonts w:ascii="Times New Roman" w:hAnsi="Times New Roman" w:cs="Times New Roman"/>
                <w:lang w:eastAsia="zh-CN"/>
              </w:rPr>
              <w:t>个区县：尖草坪、晋源、万柏林、小店、杏花岭、迎泽</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呼和浩特</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4</w:t>
            </w:r>
            <w:r w:rsidRPr="003A243E">
              <w:rPr>
                <w:rFonts w:ascii="Times New Roman" w:hAnsi="Times New Roman" w:cs="Times New Roman"/>
                <w:lang w:eastAsia="zh-CN"/>
              </w:rPr>
              <w:t>个区县：回民、赛罕、新城、玉泉</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沈阳</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9</w:t>
            </w:r>
            <w:r w:rsidRPr="003A243E">
              <w:rPr>
                <w:rFonts w:ascii="Times New Roman" w:hAnsi="Times New Roman" w:cs="Times New Roman"/>
                <w:lang w:eastAsia="zh-CN"/>
              </w:rPr>
              <w:t>个区县：大东、东陵、和平、皇姑、浑南、沈河、苏家屯、铁西、于洪</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大连</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个区县：甘井子、高新园、金州、开发区、沙河口、西岗、中山</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长春</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9</w:t>
            </w:r>
            <w:r w:rsidRPr="003A243E">
              <w:rPr>
                <w:rFonts w:ascii="Times New Roman" w:hAnsi="Times New Roman" w:cs="Times New Roman"/>
                <w:lang w:eastAsia="zh-CN"/>
              </w:rPr>
              <w:t>个区县：朝阳、二道、高新、经开、净月、</w:t>
            </w:r>
          </w:p>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宽城、绿园、南关、汽车开发</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哈尔滨</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8</w:t>
            </w:r>
            <w:r w:rsidRPr="003A243E">
              <w:rPr>
                <w:rFonts w:ascii="Times New Roman" w:hAnsi="Times New Roman" w:cs="Times New Roman"/>
                <w:lang w:eastAsia="zh-CN"/>
              </w:rPr>
              <w:t>个区县：道里、道外、阿城、呼兰、南岗、平房、松北、香坊</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上海</w:t>
            </w:r>
          </w:p>
        </w:tc>
        <w:tc>
          <w:tcPr>
            <w:tcW w:w="8484"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15</w:t>
            </w:r>
            <w:r w:rsidRPr="003A243E">
              <w:rPr>
                <w:rFonts w:ascii="Times New Roman" w:hAnsi="Times New Roman" w:cs="Times New Roman"/>
                <w:lang w:eastAsia="zh-CN"/>
              </w:rPr>
              <w:t>个区县：宝山、长宁、奉贤、虹口、嘉定、卢湾、闵行、南汇、浦东、普陀、青浦、松江、徐汇、杨浦、闸北</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南京</w:t>
            </w:r>
          </w:p>
        </w:tc>
        <w:tc>
          <w:tcPr>
            <w:tcW w:w="8484" w:type="dxa"/>
            <w:tcBorders>
              <w:top w:val="nil"/>
              <w:bottom w:val="nil"/>
            </w:tcBorders>
          </w:tcPr>
          <w:p w:rsidR="00F47240" w:rsidRPr="003A243E" w:rsidRDefault="00F47240" w:rsidP="00670703">
            <w:pPr>
              <w:rPr>
                <w:rFonts w:ascii="Times New Roman" w:hAnsi="Times New Roman" w:cs="Times New Roman"/>
              </w:rPr>
            </w:pPr>
            <w:r w:rsidRPr="003A243E">
              <w:rPr>
                <w:rFonts w:ascii="Times New Roman" w:hAnsi="Times New Roman" w:cs="Times New Roman"/>
                <w:lang w:eastAsia="zh-CN"/>
              </w:rPr>
              <w:t>共</w:t>
            </w:r>
            <w:r w:rsidRPr="003A243E">
              <w:rPr>
                <w:rFonts w:ascii="Times New Roman" w:hAnsi="Times New Roman" w:cs="Times New Roman"/>
              </w:rPr>
              <w:t>10</w:t>
            </w:r>
            <w:r w:rsidRPr="003A243E">
              <w:rPr>
                <w:rFonts w:ascii="Times New Roman" w:hAnsi="Times New Roman" w:cs="Times New Roman"/>
                <w:lang w:eastAsia="zh-CN"/>
              </w:rPr>
              <w:t>个区县</w:t>
            </w:r>
            <w:r w:rsidRPr="003A243E">
              <w:rPr>
                <w:rFonts w:ascii="Times New Roman" w:hAnsi="Times New Roman" w:cs="Times New Roman"/>
              </w:rPr>
              <w:t>：白下、鼓楼、江宁、建邺、浦口、秦淮、栖霞、下关、玄武、雨花台</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杭州</w:t>
            </w:r>
          </w:p>
        </w:tc>
        <w:tc>
          <w:tcPr>
            <w:tcW w:w="8484" w:type="dxa"/>
            <w:tcBorders>
              <w:top w:val="nil"/>
              <w:bottom w:val="nil"/>
            </w:tcBorders>
          </w:tcPr>
          <w:p w:rsidR="00F47240" w:rsidRPr="003A243E" w:rsidRDefault="00F47240" w:rsidP="00670703">
            <w:pPr>
              <w:rPr>
                <w:rFonts w:ascii="Times New Roman" w:hAnsi="Times New Roman" w:cs="Times New Roman"/>
              </w:rPr>
            </w:pPr>
            <w:r w:rsidRPr="003A243E">
              <w:rPr>
                <w:rFonts w:ascii="Times New Roman" w:hAnsi="Times New Roman" w:cs="Times New Roman"/>
                <w:lang w:eastAsia="zh-CN"/>
              </w:rPr>
              <w:t>共</w:t>
            </w:r>
            <w:r w:rsidRPr="003A243E">
              <w:rPr>
                <w:rFonts w:ascii="Times New Roman" w:hAnsi="Times New Roman" w:cs="Times New Roman"/>
                <w:lang w:eastAsia="zh-CN"/>
              </w:rPr>
              <w:t>8</w:t>
            </w:r>
            <w:r w:rsidRPr="003A243E">
              <w:rPr>
                <w:rFonts w:ascii="Times New Roman" w:hAnsi="Times New Roman" w:cs="Times New Roman"/>
                <w:lang w:eastAsia="zh-CN"/>
              </w:rPr>
              <w:t>个区县：</w:t>
            </w:r>
            <w:r w:rsidRPr="003A243E">
              <w:rPr>
                <w:rFonts w:ascii="Times New Roman" w:hAnsi="Times New Roman" w:cs="Times New Roman"/>
              </w:rPr>
              <w:t>滨江、拱墅、江干、上城、下城、萧山、西湖、余杭</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宁波</w:t>
            </w:r>
          </w:p>
        </w:tc>
        <w:tc>
          <w:tcPr>
            <w:tcW w:w="8484" w:type="dxa"/>
            <w:tcBorders>
              <w:top w:val="nil"/>
              <w:bottom w:val="nil"/>
            </w:tcBorders>
          </w:tcPr>
          <w:p w:rsidR="00F47240" w:rsidRPr="003A243E" w:rsidRDefault="00F47240" w:rsidP="00670703">
            <w:pPr>
              <w:rPr>
                <w:rFonts w:ascii="Times New Roman" w:hAnsi="Times New Roman" w:cs="Times New Roman"/>
              </w:rPr>
            </w:pPr>
            <w:r w:rsidRPr="003A243E">
              <w:rPr>
                <w:rFonts w:ascii="Times New Roman" w:hAnsi="Times New Roman" w:cs="Times New Roman"/>
                <w:color w:val="000000"/>
                <w:lang w:eastAsia="zh-CN"/>
              </w:rPr>
              <w:t>共</w:t>
            </w:r>
            <w:r w:rsidRPr="003A243E">
              <w:rPr>
                <w:rFonts w:ascii="Times New Roman" w:hAnsi="Times New Roman" w:cs="Times New Roman"/>
                <w:color w:val="000000"/>
                <w:lang w:eastAsia="zh-CN"/>
              </w:rPr>
              <w:t>4</w:t>
            </w:r>
            <w:r w:rsidRPr="003A243E">
              <w:rPr>
                <w:rFonts w:ascii="Times New Roman" w:hAnsi="Times New Roman" w:cs="Times New Roman"/>
                <w:color w:val="000000"/>
                <w:lang w:eastAsia="zh-CN"/>
              </w:rPr>
              <w:t>个区县：</w:t>
            </w:r>
            <w:r w:rsidRPr="003A243E">
              <w:rPr>
                <w:rFonts w:ascii="Times New Roman" w:hAnsi="Times New Roman" w:cs="Times New Roman"/>
              </w:rPr>
              <w:t>海曙、江北、江东、鄞州</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合肥</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lang w:eastAsia="zh-CN"/>
              </w:rPr>
            </w:pPr>
            <w:r w:rsidRPr="003A243E">
              <w:rPr>
                <w:rFonts w:ascii="Times New Roman" w:hAnsi="Times New Roman" w:cs="Times New Roman"/>
                <w:lang w:eastAsia="zh-CN"/>
              </w:rPr>
              <w:t>共</w:t>
            </w:r>
            <w:r w:rsidRPr="003A243E">
              <w:rPr>
                <w:rFonts w:ascii="Times New Roman" w:hAnsi="Times New Roman" w:cs="Times New Roman"/>
                <w:lang w:eastAsia="zh-CN"/>
              </w:rPr>
              <w:t>8</w:t>
            </w:r>
            <w:r w:rsidRPr="003A243E">
              <w:rPr>
                <w:rFonts w:ascii="Times New Roman" w:hAnsi="Times New Roman" w:cs="Times New Roman"/>
                <w:lang w:eastAsia="zh-CN"/>
              </w:rPr>
              <w:t>个区县：</w:t>
            </w:r>
            <w:r w:rsidRPr="003A243E">
              <w:rPr>
                <w:rFonts w:ascii="Times New Roman" w:cs="Times New Roman"/>
                <w:color w:val="000000"/>
              </w:rPr>
              <w:t>包河、滨湖新区、高新区、开发区、庐阳、蜀山、新站、瑶海</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福州</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color w:val="000000"/>
                <w:lang w:eastAsia="zh-CN"/>
              </w:rPr>
              <w:t>共</w:t>
            </w:r>
            <w:r w:rsidRPr="003A243E">
              <w:rPr>
                <w:rFonts w:ascii="Times New Roman" w:hAnsi="Times New Roman" w:cs="Times New Roman"/>
                <w:color w:val="000000"/>
                <w:lang w:eastAsia="zh-CN"/>
              </w:rPr>
              <w:t>4</w:t>
            </w:r>
            <w:r w:rsidRPr="003A243E">
              <w:rPr>
                <w:rFonts w:ascii="Times New Roman" w:hAnsi="Times New Roman" w:cs="Times New Roman"/>
                <w:color w:val="000000"/>
                <w:lang w:eastAsia="zh-CN"/>
              </w:rPr>
              <w:t>个区县：</w:t>
            </w:r>
            <w:r w:rsidRPr="003A243E">
              <w:rPr>
                <w:rFonts w:ascii="Times New Roman" w:cs="Times New Roman"/>
                <w:color w:val="000000"/>
              </w:rPr>
              <w:t>仓山、鼓楼、晋安、台江</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厦门</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5</w:t>
            </w:r>
            <w:r w:rsidRPr="003A243E">
              <w:rPr>
                <w:rFonts w:ascii="Times New Roman" w:hAnsi="Times New Roman" w:cs="Times New Roman"/>
                <w:lang w:eastAsia="zh-CN"/>
              </w:rPr>
              <w:t>个区县：</w:t>
            </w:r>
            <w:r w:rsidRPr="003A243E">
              <w:rPr>
                <w:rFonts w:ascii="Times New Roman" w:cs="Times New Roman"/>
                <w:color w:val="000000"/>
              </w:rPr>
              <w:t>海沧、湖里、集美、思明、翔安</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南昌</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w:t>
            </w:r>
            <w:r w:rsidRPr="003A243E">
              <w:rPr>
                <w:rFonts w:ascii="Times New Roman" w:cs="Times New Roman"/>
                <w:color w:val="000000"/>
              </w:rPr>
              <w:t>东湖、红谷滩新区、开发区、青山湖、青云谱、湾里、西湖</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济南</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6</w:t>
            </w:r>
            <w:r w:rsidRPr="003A243E">
              <w:rPr>
                <w:rFonts w:ascii="Times New Roman" w:hAnsi="Times New Roman" w:cs="Times New Roman"/>
                <w:lang w:eastAsia="zh-CN"/>
              </w:rPr>
              <w:t>个区县：</w:t>
            </w:r>
            <w:r w:rsidRPr="003A243E">
              <w:rPr>
                <w:rFonts w:ascii="Times New Roman" w:cs="Times New Roman"/>
                <w:color w:val="000000"/>
              </w:rPr>
              <w:t>高新区、槐荫、历城、历下、市中、天桥</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青岛</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6</w:t>
            </w:r>
            <w:r w:rsidRPr="003A243E">
              <w:rPr>
                <w:rFonts w:ascii="Times New Roman" w:hAnsi="Times New Roman" w:cs="Times New Roman"/>
                <w:lang w:eastAsia="zh-CN"/>
              </w:rPr>
              <w:t>个区县：</w:t>
            </w:r>
            <w:r w:rsidRPr="003A243E">
              <w:rPr>
                <w:rFonts w:ascii="Times New Roman" w:cs="Times New Roman"/>
                <w:color w:val="000000"/>
              </w:rPr>
              <w:t>崂山、李沧、市北、市南、四方</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郑州</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w:t>
            </w:r>
            <w:r w:rsidRPr="003A243E">
              <w:rPr>
                <w:rFonts w:ascii="Times New Roman" w:cs="Times New Roman"/>
                <w:color w:val="000000"/>
              </w:rPr>
              <w:t>二七、高新区、管城、惠济、金水、郑东新区、中原</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武汉</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10</w:t>
            </w:r>
            <w:r w:rsidRPr="003A243E">
              <w:rPr>
                <w:rFonts w:ascii="Times New Roman" w:hAnsi="Times New Roman" w:cs="Times New Roman"/>
                <w:lang w:eastAsia="zh-CN"/>
              </w:rPr>
              <w:t>个区县：</w:t>
            </w:r>
            <w:r w:rsidRPr="003A243E">
              <w:rPr>
                <w:rFonts w:ascii="Times New Roman" w:cs="Times New Roman"/>
                <w:color w:val="000000"/>
              </w:rPr>
              <w:t>东湖、东西湖、汉阳、洪山、江岸、江汉、开发区、硚口、青山、武昌</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长沙</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5</w:t>
            </w:r>
            <w:r w:rsidRPr="003A243E">
              <w:rPr>
                <w:rFonts w:ascii="Times New Roman" w:hAnsi="Times New Roman" w:cs="Times New Roman"/>
                <w:lang w:eastAsia="zh-CN"/>
              </w:rPr>
              <w:t>个区县：</w:t>
            </w:r>
            <w:r w:rsidRPr="003A243E">
              <w:rPr>
                <w:rFonts w:ascii="Times New Roman" w:cs="Times New Roman"/>
                <w:color w:val="000000"/>
              </w:rPr>
              <w:t>芙蓉、开福、天心、岳麓、雨花</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广州</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8</w:t>
            </w:r>
            <w:r w:rsidRPr="003A243E">
              <w:rPr>
                <w:rFonts w:ascii="Times New Roman" w:hAnsi="Times New Roman" w:cs="Times New Roman"/>
                <w:lang w:eastAsia="zh-CN"/>
              </w:rPr>
              <w:t>个区县：</w:t>
            </w:r>
            <w:r w:rsidRPr="003A243E">
              <w:rPr>
                <w:rFonts w:ascii="Times New Roman" w:cs="Times New Roman"/>
                <w:color w:val="000000"/>
              </w:rPr>
              <w:t>白云、番禹、海珠、黄埔、荔湾、南沙、天河、越秀</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深圳</w:t>
            </w:r>
          </w:p>
        </w:tc>
        <w:tc>
          <w:tcPr>
            <w:tcW w:w="8484" w:type="dxa"/>
            <w:tcBorders>
              <w:top w:val="nil"/>
              <w:bottom w:val="nil"/>
            </w:tcBorders>
          </w:tcPr>
          <w:p w:rsidR="00F47240" w:rsidRPr="003A243E" w:rsidRDefault="002B7EB0" w:rsidP="00670703">
            <w:pPr>
              <w:rPr>
                <w:rFonts w:ascii="Times New Roman" w:eastAsia="宋体" w:hAnsi="Times New Roman" w:cs="Times New Roman"/>
                <w:color w:val="000000"/>
              </w:rPr>
            </w:pPr>
            <w:r w:rsidRPr="003A243E">
              <w:rPr>
                <w:rFonts w:ascii="Times New Roman" w:hAnsi="Times New Roman" w:cs="Times New Roman"/>
                <w:lang w:eastAsia="zh-CN"/>
              </w:rPr>
              <w:t>共</w:t>
            </w:r>
            <w:r>
              <w:rPr>
                <w:rFonts w:ascii="Times New Roman" w:hAnsi="Times New Roman" w:cs="Times New Roman" w:hint="eastAsia"/>
                <w:lang w:eastAsia="zh-CN"/>
              </w:rPr>
              <w:t>5</w:t>
            </w:r>
            <w:r w:rsidRPr="003A243E">
              <w:rPr>
                <w:rFonts w:ascii="Times New Roman" w:hAnsi="Times New Roman" w:cs="Times New Roman"/>
                <w:lang w:eastAsia="zh-CN"/>
              </w:rPr>
              <w:t>个区县：</w:t>
            </w:r>
            <w:r w:rsidR="00F47240" w:rsidRPr="003A243E">
              <w:rPr>
                <w:rFonts w:ascii="Times New Roman" w:cs="Times New Roman"/>
                <w:color w:val="000000"/>
              </w:rPr>
              <w:t>宝安、福田、龙岗、南山、盐田</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南宁</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6</w:t>
            </w:r>
            <w:r w:rsidRPr="003A243E">
              <w:rPr>
                <w:rFonts w:ascii="Times New Roman" w:hAnsi="Times New Roman" w:cs="Times New Roman"/>
                <w:lang w:eastAsia="zh-CN"/>
              </w:rPr>
              <w:t>个区县：</w:t>
            </w:r>
            <w:r w:rsidRPr="003A243E">
              <w:rPr>
                <w:rFonts w:ascii="Times New Roman" w:cs="Times New Roman"/>
                <w:color w:val="000000"/>
              </w:rPr>
              <w:t>邕宁、江南、良庆、青秀、兴宁、西乡塘</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海口</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4</w:t>
            </w:r>
            <w:r w:rsidRPr="003A243E">
              <w:rPr>
                <w:rFonts w:ascii="Times New Roman" w:hAnsi="Times New Roman" w:cs="Times New Roman"/>
                <w:lang w:eastAsia="zh-CN"/>
              </w:rPr>
              <w:t>个区县：</w:t>
            </w:r>
            <w:r w:rsidRPr="003A243E">
              <w:rPr>
                <w:rFonts w:ascii="Times New Roman" w:cs="Times New Roman"/>
                <w:color w:val="000000"/>
              </w:rPr>
              <w:t>龙华、美兰、琼山、秀英</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重庆</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8</w:t>
            </w:r>
            <w:r w:rsidRPr="003A243E">
              <w:rPr>
                <w:rFonts w:ascii="Times New Roman" w:hAnsi="Times New Roman" w:cs="Times New Roman"/>
                <w:lang w:eastAsia="zh-CN"/>
              </w:rPr>
              <w:t>个区县：</w:t>
            </w:r>
            <w:r w:rsidRPr="003A243E">
              <w:rPr>
                <w:rFonts w:ascii="Times New Roman" w:cs="Times New Roman"/>
                <w:color w:val="000000"/>
              </w:rPr>
              <w:t>巴南、大渡口、江北、九龙坡、南岸、沙坪坝、渝北、渝中</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成都</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8</w:t>
            </w:r>
            <w:r w:rsidRPr="003A243E">
              <w:rPr>
                <w:rFonts w:ascii="Times New Roman" w:hAnsi="Times New Roman" w:cs="Times New Roman"/>
                <w:lang w:eastAsia="zh-CN"/>
              </w:rPr>
              <w:t>个区县：</w:t>
            </w:r>
            <w:r w:rsidRPr="003A243E">
              <w:rPr>
                <w:rFonts w:ascii="Times New Roman" w:cs="Times New Roman"/>
                <w:color w:val="000000"/>
              </w:rPr>
              <w:t>郫县、成华、高新区、锦江、金牛、龙泉驿区、青羊、武侯</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贵阳</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w:t>
            </w:r>
            <w:r w:rsidRPr="003A243E">
              <w:rPr>
                <w:rFonts w:ascii="Times New Roman" w:cs="Times New Roman"/>
                <w:color w:val="000000"/>
              </w:rPr>
              <w:t>白云、花溪、金阳新区、南明、乌当、小河、云岩</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昆明</w:t>
            </w:r>
          </w:p>
        </w:tc>
        <w:tc>
          <w:tcPr>
            <w:tcW w:w="8484" w:type="dxa"/>
            <w:tcBorders>
              <w:top w:val="nil"/>
              <w:bottom w:val="nil"/>
            </w:tcBorders>
          </w:tcPr>
          <w:p w:rsidR="00F47240" w:rsidRPr="003A243E" w:rsidRDefault="002B7EB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w:t>
            </w:r>
            <w:r w:rsidR="00F47240" w:rsidRPr="003A243E">
              <w:rPr>
                <w:rFonts w:ascii="Times New Roman" w:cs="Times New Roman"/>
                <w:color w:val="000000"/>
              </w:rPr>
              <w:t>城北、城东、城西、官渡、盘龙、五华、西山</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西安</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w:t>
            </w:r>
            <w:r w:rsidRPr="003A243E">
              <w:rPr>
                <w:rFonts w:ascii="Times New Roman" w:cs="Times New Roman"/>
                <w:color w:val="000000"/>
              </w:rPr>
              <w:t>灞桥、碑林、长安、莲湖、未央、新城、雁塔</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兰州</w:t>
            </w:r>
          </w:p>
        </w:tc>
        <w:tc>
          <w:tcPr>
            <w:tcW w:w="8484" w:type="dxa"/>
            <w:tcBorders>
              <w:top w:val="nil"/>
              <w:bottom w:val="nil"/>
            </w:tcBorders>
          </w:tcPr>
          <w:p w:rsidR="00F47240" w:rsidRPr="003A243E" w:rsidRDefault="002B7EB0" w:rsidP="00670703">
            <w:pPr>
              <w:rPr>
                <w:rFonts w:ascii="Times New Roman" w:eastAsia="宋体" w:hAnsi="Times New Roman" w:cs="Times New Roman"/>
                <w:color w:val="000000"/>
              </w:rPr>
            </w:pPr>
            <w:r w:rsidRPr="003A243E">
              <w:rPr>
                <w:rFonts w:ascii="Times New Roman" w:hAnsi="Times New Roman" w:cs="Times New Roman"/>
                <w:lang w:eastAsia="zh-CN"/>
              </w:rPr>
              <w:t>共</w:t>
            </w:r>
            <w:r w:rsidRPr="003A243E">
              <w:rPr>
                <w:rFonts w:ascii="Times New Roman" w:hAnsi="Times New Roman" w:cs="Times New Roman"/>
                <w:lang w:eastAsia="zh-CN"/>
              </w:rPr>
              <w:t>7</w:t>
            </w:r>
            <w:r w:rsidRPr="003A243E">
              <w:rPr>
                <w:rFonts w:ascii="Times New Roman" w:hAnsi="Times New Roman" w:cs="Times New Roman"/>
                <w:lang w:eastAsia="zh-CN"/>
              </w:rPr>
              <w:t>个区县：</w:t>
            </w:r>
            <w:r w:rsidR="00F47240" w:rsidRPr="003A243E">
              <w:rPr>
                <w:rFonts w:ascii="Times New Roman" w:cs="Times New Roman"/>
                <w:color w:val="000000"/>
              </w:rPr>
              <w:t>城北、城东、城西、安宁、城关、七里河、西固</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西宁</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color w:val="000000"/>
                <w:lang w:eastAsia="zh-CN"/>
              </w:rPr>
              <w:t>共</w:t>
            </w:r>
            <w:r w:rsidRPr="003A243E">
              <w:rPr>
                <w:rFonts w:ascii="Times New Roman" w:hAnsi="Times New Roman" w:cs="Times New Roman"/>
                <w:color w:val="000000"/>
                <w:lang w:eastAsia="zh-CN"/>
              </w:rPr>
              <w:t>4</w:t>
            </w:r>
            <w:r w:rsidRPr="003A243E">
              <w:rPr>
                <w:rFonts w:ascii="Times New Roman" w:hAnsi="Times New Roman" w:cs="Times New Roman"/>
                <w:color w:val="000000"/>
                <w:lang w:eastAsia="zh-CN"/>
              </w:rPr>
              <w:t>个区县：</w:t>
            </w:r>
            <w:r w:rsidRPr="003A243E">
              <w:rPr>
                <w:rFonts w:ascii="Times New Roman" w:hAnsi="Times New Roman" w:cs="Times New Roman"/>
                <w:color w:val="000000"/>
              </w:rPr>
              <w:t>城北、城东、城西、城中</w:t>
            </w:r>
          </w:p>
        </w:tc>
      </w:tr>
      <w:tr w:rsidR="00F47240" w:rsidRPr="003A243E" w:rsidTr="00D23CC6">
        <w:trPr>
          <w:tblHeader/>
          <w:jc w:val="center"/>
        </w:trPr>
        <w:tc>
          <w:tcPr>
            <w:tcW w:w="1268" w:type="dxa"/>
            <w:tcBorders>
              <w:top w:val="nil"/>
              <w:bottom w:val="nil"/>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银川</w:t>
            </w:r>
          </w:p>
        </w:tc>
        <w:tc>
          <w:tcPr>
            <w:tcW w:w="8484" w:type="dxa"/>
            <w:tcBorders>
              <w:top w:val="nil"/>
              <w:bottom w:val="nil"/>
            </w:tcBorders>
          </w:tcPr>
          <w:p w:rsidR="00F47240" w:rsidRPr="003A243E" w:rsidRDefault="00F47240" w:rsidP="00670703">
            <w:pPr>
              <w:rPr>
                <w:rFonts w:ascii="Times New Roman" w:eastAsia="宋体" w:hAnsi="Times New Roman" w:cs="Times New Roman"/>
                <w:color w:val="000000"/>
                <w:lang w:eastAsia="zh-CN"/>
              </w:rPr>
            </w:pPr>
            <w:r w:rsidRPr="003A243E">
              <w:rPr>
                <w:rFonts w:ascii="Times New Roman" w:hAnsi="Times New Roman" w:cs="Times New Roman"/>
                <w:color w:val="000000"/>
                <w:lang w:eastAsia="zh-CN"/>
              </w:rPr>
              <w:t>共</w:t>
            </w:r>
            <w:r w:rsidRPr="003A243E">
              <w:rPr>
                <w:rFonts w:ascii="Times New Roman" w:hAnsi="Times New Roman" w:cs="Times New Roman"/>
                <w:color w:val="000000"/>
                <w:lang w:eastAsia="zh-CN"/>
              </w:rPr>
              <w:t>3</w:t>
            </w:r>
            <w:r w:rsidRPr="003A243E">
              <w:rPr>
                <w:rFonts w:ascii="Times New Roman" w:hAnsi="Times New Roman" w:cs="Times New Roman"/>
                <w:color w:val="000000"/>
                <w:lang w:eastAsia="zh-CN"/>
              </w:rPr>
              <w:t>个区县：</w:t>
            </w:r>
            <w:r w:rsidRPr="003A243E">
              <w:rPr>
                <w:rFonts w:ascii="Times New Roman" w:hAnsi="Times New Roman" w:cs="Times New Roman"/>
                <w:color w:val="000000"/>
              </w:rPr>
              <w:t>西夏、金凤、兴庆</w:t>
            </w:r>
          </w:p>
        </w:tc>
      </w:tr>
      <w:tr w:rsidR="00F47240" w:rsidRPr="003A243E" w:rsidTr="00D23CC6">
        <w:trPr>
          <w:tblHeader/>
          <w:jc w:val="center"/>
        </w:trPr>
        <w:tc>
          <w:tcPr>
            <w:tcW w:w="1268" w:type="dxa"/>
            <w:tcBorders>
              <w:top w:val="nil"/>
              <w:bottom w:val="single" w:sz="12" w:space="0" w:color="auto"/>
            </w:tcBorders>
          </w:tcPr>
          <w:p w:rsidR="00F47240" w:rsidRPr="003A243E" w:rsidRDefault="00F47240" w:rsidP="00670703">
            <w:pPr>
              <w:rPr>
                <w:rFonts w:ascii="Times New Roman" w:hAnsi="Times New Roman" w:cs="Times New Roman"/>
                <w:lang w:eastAsia="zh-CN"/>
              </w:rPr>
            </w:pPr>
            <w:r w:rsidRPr="003A243E">
              <w:rPr>
                <w:rFonts w:ascii="Times New Roman" w:hAnsi="Times New Roman" w:cs="Times New Roman"/>
                <w:lang w:eastAsia="zh-CN"/>
              </w:rPr>
              <w:t>乌鲁木齐</w:t>
            </w:r>
          </w:p>
        </w:tc>
        <w:tc>
          <w:tcPr>
            <w:tcW w:w="8484" w:type="dxa"/>
            <w:tcBorders>
              <w:top w:val="nil"/>
              <w:bottom w:val="single" w:sz="12" w:space="0" w:color="auto"/>
            </w:tcBorders>
          </w:tcPr>
          <w:p w:rsidR="00F47240" w:rsidRPr="003A243E" w:rsidRDefault="00F47240" w:rsidP="00670703">
            <w:pPr>
              <w:rPr>
                <w:rFonts w:ascii="Times New Roman" w:eastAsia="宋体" w:hAnsi="Times New Roman" w:cs="Times New Roman"/>
                <w:color w:val="000000"/>
              </w:rPr>
            </w:pPr>
            <w:r w:rsidRPr="003A243E">
              <w:rPr>
                <w:rFonts w:ascii="Times New Roman" w:hAnsi="Times New Roman" w:cs="Times New Roman"/>
                <w:color w:val="000000"/>
                <w:lang w:eastAsia="zh-CN"/>
              </w:rPr>
              <w:t>共</w:t>
            </w:r>
            <w:r w:rsidRPr="003A243E">
              <w:rPr>
                <w:rFonts w:ascii="Times New Roman" w:hAnsi="Times New Roman" w:cs="Times New Roman"/>
                <w:color w:val="000000"/>
              </w:rPr>
              <w:t>6</w:t>
            </w:r>
            <w:r w:rsidRPr="003A243E">
              <w:rPr>
                <w:rFonts w:ascii="Times New Roman" w:hAnsi="Times New Roman" w:cs="Times New Roman"/>
                <w:color w:val="000000"/>
                <w:lang w:eastAsia="zh-CN"/>
              </w:rPr>
              <w:t>个区县：</w:t>
            </w:r>
            <w:r w:rsidRPr="003A243E">
              <w:rPr>
                <w:rFonts w:ascii="Times New Roman" w:hAnsi="Times New Roman" w:cs="Times New Roman"/>
                <w:color w:val="000000"/>
              </w:rPr>
              <w:t>米东、沙依巴克、水磨沟、天山、头屯河、新市</w:t>
            </w:r>
          </w:p>
        </w:tc>
      </w:tr>
    </w:tbl>
    <w:p w:rsidR="001863D8" w:rsidRPr="003A243E" w:rsidRDefault="001863D8" w:rsidP="00FE7D71">
      <w:pPr>
        <w:spacing w:beforeLines="50" w:before="156" w:afterLines="50" w:after="156" w:line="360" w:lineRule="auto"/>
        <w:rPr>
          <w:rFonts w:ascii="Times New Roman" w:hAnsi="Times New Roman" w:cs="Times New Roman"/>
        </w:rPr>
      </w:pPr>
    </w:p>
    <w:p w:rsidR="001863D8" w:rsidRPr="003A243E" w:rsidRDefault="001863D8" w:rsidP="00FE7D71">
      <w:pPr>
        <w:spacing w:beforeLines="50" w:before="156" w:afterLines="50" w:after="156" w:line="360" w:lineRule="auto"/>
        <w:jc w:val="center"/>
        <w:rPr>
          <w:rFonts w:ascii="Times New Roman" w:hAnsi="Times New Roman" w:cs="Times New Roman"/>
          <w:b/>
        </w:rPr>
      </w:pPr>
      <w:r w:rsidRPr="003A243E">
        <w:rPr>
          <w:rFonts w:ascii="Times New Roman" w:hAnsi="Times New Roman" w:cs="Times New Roman"/>
          <w:b/>
        </w:rPr>
        <w:lastRenderedPageBreak/>
        <w:t>表</w:t>
      </w:r>
      <w:r w:rsidRPr="003A243E">
        <w:rPr>
          <w:rFonts w:ascii="Times New Roman" w:hAnsi="Times New Roman" w:cs="Times New Roman"/>
          <w:b/>
        </w:rPr>
        <w:t>3</w:t>
      </w:r>
      <w:r w:rsidRPr="003A243E">
        <w:rPr>
          <w:rFonts w:ascii="Times New Roman" w:hAnsi="Times New Roman" w:cs="Times New Roman"/>
          <w:b/>
        </w:rPr>
        <w:t>：</w:t>
      </w:r>
      <w:r w:rsidR="002B7EB0">
        <w:rPr>
          <w:rFonts w:ascii="Times New Roman" w:hAnsi="Times New Roman" w:cs="Times New Roman" w:hint="eastAsia"/>
          <w:b/>
        </w:rPr>
        <w:t>居住用地出让</w:t>
      </w:r>
      <w:r w:rsidRPr="003A243E">
        <w:rPr>
          <w:rFonts w:ascii="Times New Roman" w:hAnsi="Times New Roman" w:cs="Times New Roman"/>
          <w:b/>
        </w:rPr>
        <w:t>交易数据库样本分布</w:t>
      </w:r>
      <w:r w:rsidR="002B7EB0">
        <w:rPr>
          <w:rFonts w:ascii="Times New Roman" w:hAnsi="Times New Roman" w:cs="Times New Roman" w:hint="eastAsia"/>
          <w:b/>
        </w:rPr>
        <w:t>情况</w:t>
      </w:r>
    </w:p>
    <w:tbl>
      <w:tblPr>
        <w:tblStyle w:val="a9"/>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36"/>
        <w:gridCol w:w="1574"/>
        <w:gridCol w:w="2450"/>
        <w:gridCol w:w="2946"/>
      </w:tblGrid>
      <w:tr w:rsidR="001863D8" w:rsidRPr="00E94F92" w:rsidTr="00E94F92">
        <w:trPr>
          <w:jc w:val="center"/>
        </w:trPr>
        <w:tc>
          <w:tcPr>
            <w:tcW w:w="1336" w:type="dxa"/>
            <w:tcBorders>
              <w:bottom w:val="single" w:sz="4" w:space="0" w:color="auto"/>
            </w:tcBorders>
            <w:vAlign w:val="center"/>
          </w:tcPr>
          <w:p w:rsidR="001863D8" w:rsidRPr="00E94F92" w:rsidRDefault="001863D8" w:rsidP="00E94F92">
            <w:pPr>
              <w:jc w:val="center"/>
              <w:rPr>
                <w:rFonts w:ascii="Times New Roman" w:hAnsi="Times New Roman" w:cs="Times New Roman"/>
                <w:b/>
              </w:rPr>
            </w:pPr>
          </w:p>
        </w:tc>
        <w:tc>
          <w:tcPr>
            <w:tcW w:w="1574" w:type="dxa"/>
            <w:tcBorders>
              <w:bottom w:val="single" w:sz="4" w:space="0" w:color="auto"/>
            </w:tcBorders>
            <w:vAlign w:val="center"/>
          </w:tcPr>
          <w:p w:rsidR="001863D8" w:rsidRPr="00E94F92" w:rsidRDefault="001863D8" w:rsidP="00E94F92">
            <w:pPr>
              <w:jc w:val="center"/>
              <w:rPr>
                <w:rFonts w:ascii="Times New Roman" w:hAnsi="Times New Roman" w:cs="Times New Roman"/>
                <w:b/>
                <w:lang w:eastAsia="zh-CN"/>
              </w:rPr>
            </w:pPr>
            <w:r w:rsidRPr="00E94F92">
              <w:rPr>
                <w:rFonts w:ascii="Times New Roman" w:hAnsi="Times New Roman" w:cs="Times New Roman"/>
                <w:b/>
                <w:lang w:eastAsia="zh-CN"/>
              </w:rPr>
              <w:t>覆盖城市</w:t>
            </w:r>
          </w:p>
        </w:tc>
        <w:tc>
          <w:tcPr>
            <w:tcW w:w="2450" w:type="dxa"/>
            <w:tcBorders>
              <w:bottom w:val="single" w:sz="4" w:space="0" w:color="auto"/>
            </w:tcBorders>
            <w:vAlign w:val="center"/>
          </w:tcPr>
          <w:p w:rsidR="001863D8" w:rsidRPr="00E94F92" w:rsidRDefault="001863D8" w:rsidP="00E94F92">
            <w:pPr>
              <w:jc w:val="center"/>
              <w:rPr>
                <w:rFonts w:ascii="Times New Roman" w:hAnsi="Times New Roman" w:cs="Times New Roman"/>
                <w:b/>
                <w:lang w:eastAsia="zh-CN"/>
              </w:rPr>
            </w:pPr>
            <w:r w:rsidRPr="00E94F92">
              <w:rPr>
                <w:rFonts w:ascii="Times New Roman" w:hAnsi="Times New Roman" w:cs="Times New Roman"/>
                <w:b/>
                <w:lang w:eastAsia="zh-CN"/>
              </w:rPr>
              <w:t>成交</w:t>
            </w:r>
            <w:r w:rsidR="002B7EB0">
              <w:rPr>
                <w:rFonts w:ascii="Times New Roman" w:hAnsi="Times New Roman" w:cs="Times New Roman" w:hint="eastAsia"/>
                <w:b/>
                <w:lang w:eastAsia="zh-CN"/>
              </w:rPr>
              <w:t>地块数</w:t>
            </w:r>
          </w:p>
        </w:tc>
        <w:tc>
          <w:tcPr>
            <w:tcW w:w="2946" w:type="dxa"/>
            <w:tcBorders>
              <w:bottom w:val="single" w:sz="4" w:space="0" w:color="auto"/>
            </w:tcBorders>
            <w:vAlign w:val="center"/>
          </w:tcPr>
          <w:p w:rsidR="00E94F92" w:rsidRPr="00E94F92" w:rsidRDefault="001863D8" w:rsidP="00E94F92">
            <w:pPr>
              <w:jc w:val="center"/>
              <w:rPr>
                <w:rFonts w:ascii="Times New Roman" w:hAnsi="Times New Roman" w:cs="Times New Roman"/>
                <w:b/>
                <w:lang w:eastAsia="zh-CN"/>
              </w:rPr>
            </w:pPr>
            <w:r w:rsidRPr="00E94F92">
              <w:rPr>
                <w:rFonts w:ascii="Times New Roman" w:hAnsi="Times New Roman" w:cs="Times New Roman"/>
                <w:b/>
                <w:lang w:eastAsia="zh-CN"/>
              </w:rPr>
              <w:t>成交</w:t>
            </w:r>
            <w:r w:rsidR="002B7EB0">
              <w:rPr>
                <w:rFonts w:ascii="Times New Roman" w:hAnsi="Times New Roman" w:cs="Times New Roman" w:hint="eastAsia"/>
                <w:b/>
                <w:lang w:eastAsia="zh-CN"/>
              </w:rPr>
              <w:t>地块</w:t>
            </w:r>
            <w:r w:rsidRPr="00E94F92">
              <w:rPr>
                <w:rFonts w:ascii="Times New Roman" w:hAnsi="Times New Roman" w:cs="Times New Roman"/>
                <w:b/>
                <w:lang w:eastAsia="zh-CN"/>
              </w:rPr>
              <w:t>规划建筑面积</w:t>
            </w:r>
          </w:p>
          <w:p w:rsidR="001863D8" w:rsidRPr="00E94F92" w:rsidRDefault="001863D8" w:rsidP="00E94F92">
            <w:pPr>
              <w:jc w:val="center"/>
              <w:rPr>
                <w:rFonts w:ascii="Times New Roman" w:hAnsi="Times New Roman" w:cs="Times New Roman"/>
                <w:b/>
                <w:lang w:eastAsia="zh-CN"/>
              </w:rPr>
            </w:pPr>
            <w:r w:rsidRPr="00E94F92">
              <w:rPr>
                <w:rFonts w:ascii="Times New Roman" w:hAnsi="Times New Roman" w:cs="Times New Roman"/>
                <w:b/>
                <w:lang w:eastAsia="zh-CN"/>
              </w:rPr>
              <w:t>（百万平米）</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2004</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22</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675</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70.36</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2005</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lang w:eastAsia="zh-CN"/>
              </w:rPr>
            </w:pPr>
            <w:r w:rsidRPr="003A243E">
              <w:rPr>
                <w:rFonts w:ascii="Times New Roman" w:hAnsi="Times New Roman" w:cs="Times New Roman"/>
              </w:rPr>
              <w:t>2</w:t>
            </w:r>
            <w:r w:rsidRPr="003A243E">
              <w:rPr>
                <w:rFonts w:ascii="Times New Roman" w:hAnsi="Times New Roman" w:cs="Times New Roman"/>
                <w:lang w:eastAsia="zh-CN"/>
              </w:rPr>
              <w:t>4</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770</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91.26</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2006</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33</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1,123</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178.10</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2007</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34</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1,409</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241.27</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2008</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35</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964</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168.30</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2009</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35</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1,567</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280.20</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2010</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35</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1,752</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330.55</w:t>
            </w:r>
          </w:p>
        </w:tc>
      </w:tr>
      <w:tr w:rsidR="00740DFB" w:rsidRPr="003A243E" w:rsidTr="00E94F92">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lang w:eastAsia="zh-CN"/>
              </w:rPr>
            </w:pPr>
            <w:r w:rsidRPr="003A243E">
              <w:rPr>
                <w:rFonts w:ascii="Times New Roman" w:hAnsi="Times New Roman" w:cs="Times New Roman"/>
                <w:lang w:eastAsia="zh-CN"/>
              </w:rPr>
              <w:t>2011</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lang w:eastAsia="zh-CN"/>
              </w:rPr>
              <w:t>35</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lang w:eastAsia="zh-CN"/>
              </w:rPr>
            </w:pPr>
            <w:r w:rsidRPr="00D73F65">
              <w:rPr>
                <w:rFonts w:ascii="Times New Roman" w:hAnsi="Times New Roman" w:cs="Times New Roman"/>
              </w:rPr>
              <w:t>1,675</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274.33</w:t>
            </w:r>
          </w:p>
        </w:tc>
      </w:tr>
      <w:tr w:rsidR="00740DFB" w:rsidRPr="003A243E" w:rsidTr="002B7BC8">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lang w:eastAsia="zh-CN"/>
              </w:rPr>
            </w:pPr>
            <w:r w:rsidRPr="003A243E">
              <w:rPr>
                <w:rFonts w:ascii="Times New Roman" w:hAnsi="Times New Roman" w:cs="Times New Roman"/>
                <w:lang w:eastAsia="zh-CN"/>
              </w:rPr>
              <w:t>2012</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lang w:eastAsia="zh-CN"/>
              </w:rPr>
            </w:pPr>
            <w:r w:rsidRPr="003A243E">
              <w:rPr>
                <w:rFonts w:ascii="Times New Roman" w:hAnsi="Times New Roman" w:cs="Times New Roman"/>
                <w:lang w:eastAsia="zh-CN"/>
              </w:rPr>
              <w:t>35</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lang w:eastAsia="zh-CN"/>
              </w:rPr>
            </w:pPr>
            <w:r w:rsidRPr="00D73F65">
              <w:rPr>
                <w:rFonts w:ascii="Times New Roman" w:hAnsi="Times New Roman" w:cs="Times New Roman"/>
              </w:rPr>
              <w:t>1,860</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293.85</w:t>
            </w:r>
          </w:p>
        </w:tc>
      </w:tr>
      <w:tr w:rsidR="00740DFB" w:rsidRPr="003A243E" w:rsidTr="002B7BC8">
        <w:trPr>
          <w:jc w:val="center"/>
        </w:trPr>
        <w:tc>
          <w:tcPr>
            <w:tcW w:w="1336" w:type="dxa"/>
            <w:tcBorders>
              <w:top w:val="nil"/>
              <w:bottom w:val="nil"/>
            </w:tcBorders>
            <w:vAlign w:val="center"/>
          </w:tcPr>
          <w:p w:rsidR="00740DFB" w:rsidRPr="003A243E" w:rsidRDefault="00740DFB" w:rsidP="00740DFB">
            <w:pPr>
              <w:jc w:val="center"/>
              <w:rPr>
                <w:rFonts w:ascii="Times New Roman" w:hAnsi="Times New Roman" w:cs="Times New Roman"/>
                <w:lang w:eastAsia="zh-CN"/>
              </w:rPr>
            </w:pPr>
            <w:r>
              <w:rPr>
                <w:rFonts w:ascii="Times New Roman" w:hAnsi="Times New Roman" w:cs="Times New Roman" w:hint="eastAsia"/>
                <w:lang w:eastAsia="zh-CN"/>
              </w:rPr>
              <w:t>2013</w:t>
            </w:r>
          </w:p>
        </w:tc>
        <w:tc>
          <w:tcPr>
            <w:tcW w:w="1574" w:type="dxa"/>
            <w:tcBorders>
              <w:top w:val="nil"/>
              <w:bottom w:val="nil"/>
            </w:tcBorders>
            <w:vAlign w:val="center"/>
          </w:tcPr>
          <w:p w:rsidR="00740DFB" w:rsidRPr="003A243E" w:rsidRDefault="00740DFB" w:rsidP="00740DFB">
            <w:pPr>
              <w:jc w:val="center"/>
              <w:rPr>
                <w:rFonts w:ascii="Times New Roman" w:hAnsi="Times New Roman" w:cs="Times New Roman"/>
                <w:lang w:eastAsia="zh-CN"/>
              </w:rPr>
            </w:pPr>
            <w:r>
              <w:rPr>
                <w:rFonts w:ascii="Times New Roman" w:hAnsi="Times New Roman" w:cs="Times New Roman" w:hint="eastAsia"/>
                <w:lang w:eastAsia="zh-CN"/>
              </w:rPr>
              <w:t>35</w:t>
            </w:r>
          </w:p>
        </w:tc>
        <w:tc>
          <w:tcPr>
            <w:tcW w:w="2450" w:type="dxa"/>
            <w:tcBorders>
              <w:top w:val="nil"/>
              <w:bottom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1,871</w:t>
            </w:r>
          </w:p>
        </w:tc>
        <w:tc>
          <w:tcPr>
            <w:tcW w:w="2946" w:type="dxa"/>
            <w:tcBorders>
              <w:top w:val="nil"/>
              <w:bottom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305.16</w:t>
            </w:r>
          </w:p>
        </w:tc>
      </w:tr>
      <w:tr w:rsidR="00740DFB" w:rsidRPr="003A243E" w:rsidTr="002B7BC8">
        <w:trPr>
          <w:jc w:val="center"/>
        </w:trPr>
        <w:tc>
          <w:tcPr>
            <w:tcW w:w="1336" w:type="dxa"/>
            <w:tcBorders>
              <w:top w:val="nil"/>
            </w:tcBorders>
            <w:vAlign w:val="center"/>
          </w:tcPr>
          <w:p w:rsidR="00740DFB" w:rsidRDefault="00740DFB" w:rsidP="00740DFB">
            <w:pPr>
              <w:jc w:val="center"/>
              <w:rPr>
                <w:rFonts w:ascii="Times New Roman" w:hAnsi="Times New Roman" w:cs="Times New Roman"/>
                <w:lang w:eastAsia="zh-CN"/>
              </w:rPr>
            </w:pPr>
            <w:r>
              <w:rPr>
                <w:rFonts w:ascii="Times New Roman" w:hAnsi="Times New Roman" w:cs="Times New Roman" w:hint="eastAsia"/>
                <w:lang w:eastAsia="zh-CN"/>
              </w:rPr>
              <w:t>2014</w:t>
            </w:r>
          </w:p>
          <w:p w:rsidR="00740DFB" w:rsidRPr="003A243E" w:rsidRDefault="00740DFB" w:rsidP="00740DFB">
            <w:pPr>
              <w:jc w:val="center"/>
              <w:rPr>
                <w:rFonts w:ascii="Times New Roman" w:hAnsi="Times New Roman" w:cs="Times New Roman"/>
                <w:lang w:eastAsia="zh-CN"/>
              </w:rPr>
            </w:pPr>
            <w:r>
              <w:rPr>
                <w:rFonts w:ascii="Times New Roman" w:hAnsi="Times New Roman" w:cs="Times New Roman" w:hint="eastAsia"/>
                <w:lang w:eastAsia="zh-CN"/>
              </w:rPr>
              <w:t>上半年</w:t>
            </w:r>
          </w:p>
        </w:tc>
        <w:tc>
          <w:tcPr>
            <w:tcW w:w="1574" w:type="dxa"/>
            <w:tcBorders>
              <w:top w:val="nil"/>
            </w:tcBorders>
            <w:vAlign w:val="center"/>
          </w:tcPr>
          <w:p w:rsidR="00740DFB" w:rsidRPr="003A243E" w:rsidRDefault="00740DFB" w:rsidP="00740DFB">
            <w:pPr>
              <w:jc w:val="center"/>
              <w:rPr>
                <w:rFonts w:ascii="Times New Roman" w:hAnsi="Times New Roman" w:cs="Times New Roman"/>
                <w:lang w:eastAsia="zh-CN"/>
              </w:rPr>
            </w:pPr>
            <w:r>
              <w:rPr>
                <w:rFonts w:ascii="Times New Roman" w:hAnsi="Times New Roman" w:cs="Times New Roman" w:hint="eastAsia"/>
                <w:lang w:eastAsia="zh-CN"/>
              </w:rPr>
              <w:t>35</w:t>
            </w:r>
          </w:p>
        </w:tc>
        <w:tc>
          <w:tcPr>
            <w:tcW w:w="2450" w:type="dxa"/>
            <w:tcBorders>
              <w:top w:val="nil"/>
            </w:tcBorders>
            <w:vAlign w:val="center"/>
          </w:tcPr>
          <w:p w:rsidR="00740DFB" w:rsidRPr="003A243E" w:rsidRDefault="00740DFB" w:rsidP="00740DFB">
            <w:pPr>
              <w:ind w:rightChars="408" w:right="857"/>
              <w:jc w:val="right"/>
              <w:rPr>
                <w:rFonts w:ascii="Times New Roman" w:hAnsi="Times New Roman" w:cs="Times New Roman"/>
              </w:rPr>
            </w:pPr>
            <w:r w:rsidRPr="00D73F65">
              <w:rPr>
                <w:rFonts w:ascii="Times New Roman" w:hAnsi="Times New Roman" w:cs="Times New Roman"/>
              </w:rPr>
              <w:t>621</w:t>
            </w:r>
          </w:p>
        </w:tc>
        <w:tc>
          <w:tcPr>
            <w:tcW w:w="2946" w:type="dxa"/>
            <w:tcBorders>
              <w:top w:val="nil"/>
            </w:tcBorders>
            <w:vAlign w:val="center"/>
          </w:tcPr>
          <w:p w:rsidR="00740DFB" w:rsidRPr="003A243E" w:rsidRDefault="00740DFB" w:rsidP="00740DFB">
            <w:pPr>
              <w:ind w:rightChars="56" w:right="118"/>
              <w:jc w:val="center"/>
              <w:rPr>
                <w:rFonts w:ascii="Times New Roman" w:hAnsi="Times New Roman" w:cs="Times New Roman"/>
              </w:rPr>
            </w:pPr>
            <w:r w:rsidRPr="00D73F65">
              <w:rPr>
                <w:rFonts w:ascii="Times New Roman" w:hAnsi="Times New Roman" w:cs="Times New Roman"/>
              </w:rPr>
              <w:t>109.93</w:t>
            </w:r>
          </w:p>
        </w:tc>
      </w:tr>
      <w:tr w:rsidR="00740DFB" w:rsidRPr="003A243E" w:rsidTr="002B7BC8">
        <w:trPr>
          <w:jc w:val="center"/>
        </w:trPr>
        <w:tc>
          <w:tcPr>
            <w:tcW w:w="1336" w:type="dxa"/>
            <w:tcBorders>
              <w:top w:val="single" w:sz="4" w:space="0" w:color="auto"/>
            </w:tcBorders>
            <w:vAlign w:val="center"/>
          </w:tcPr>
          <w:p w:rsidR="00740DFB" w:rsidRPr="003A243E" w:rsidRDefault="00740DFB" w:rsidP="00740DFB">
            <w:pPr>
              <w:jc w:val="center"/>
              <w:rPr>
                <w:rFonts w:ascii="Times New Roman" w:hAnsi="Times New Roman" w:cs="Times New Roman"/>
                <w:lang w:eastAsia="zh-CN"/>
              </w:rPr>
            </w:pPr>
            <w:r w:rsidRPr="003A243E">
              <w:rPr>
                <w:rFonts w:ascii="Times New Roman" w:hAnsi="Times New Roman" w:cs="Times New Roman"/>
                <w:lang w:eastAsia="zh-CN"/>
              </w:rPr>
              <w:t>合计</w:t>
            </w:r>
          </w:p>
        </w:tc>
        <w:tc>
          <w:tcPr>
            <w:tcW w:w="1574" w:type="dxa"/>
            <w:tcBorders>
              <w:top w:val="single" w:sz="4" w:space="0" w:color="auto"/>
            </w:tcBorders>
            <w:vAlign w:val="center"/>
          </w:tcPr>
          <w:p w:rsidR="00740DFB" w:rsidRPr="003A243E" w:rsidRDefault="00740DFB" w:rsidP="00740DFB">
            <w:pPr>
              <w:jc w:val="center"/>
              <w:rPr>
                <w:rFonts w:ascii="Times New Roman" w:hAnsi="Times New Roman" w:cs="Times New Roman"/>
              </w:rPr>
            </w:pPr>
            <w:r w:rsidRPr="003A243E">
              <w:rPr>
                <w:rFonts w:ascii="Times New Roman" w:hAnsi="Times New Roman" w:cs="Times New Roman"/>
              </w:rPr>
              <w:t>-</w:t>
            </w:r>
          </w:p>
        </w:tc>
        <w:tc>
          <w:tcPr>
            <w:tcW w:w="2450" w:type="dxa"/>
            <w:tcBorders>
              <w:top w:val="single" w:sz="4" w:space="0" w:color="auto"/>
            </w:tcBorders>
            <w:vAlign w:val="bottom"/>
          </w:tcPr>
          <w:p w:rsidR="00740DFB" w:rsidRPr="003A243E" w:rsidRDefault="00740DFB" w:rsidP="00740DFB">
            <w:pPr>
              <w:ind w:rightChars="408" w:right="857"/>
              <w:jc w:val="right"/>
              <w:rPr>
                <w:rFonts w:ascii="Times New Roman" w:hAnsi="Times New Roman" w:cs="Times New Roman"/>
                <w:lang w:eastAsia="zh-CN"/>
              </w:rPr>
            </w:pPr>
            <w:r>
              <w:rPr>
                <w:rFonts w:ascii="Times New Roman" w:hAnsi="Times New Roman" w:cs="Times New Roman"/>
              </w:rPr>
              <w:t>14,287</w:t>
            </w:r>
          </w:p>
        </w:tc>
        <w:tc>
          <w:tcPr>
            <w:tcW w:w="2946" w:type="dxa"/>
            <w:tcBorders>
              <w:top w:val="single" w:sz="4" w:space="0" w:color="auto"/>
            </w:tcBorders>
            <w:vAlign w:val="bottom"/>
          </w:tcPr>
          <w:p w:rsidR="00740DFB" w:rsidRPr="003A243E" w:rsidRDefault="00740DFB" w:rsidP="00740DFB">
            <w:pPr>
              <w:ind w:rightChars="56" w:right="118"/>
              <w:jc w:val="center"/>
              <w:rPr>
                <w:rFonts w:ascii="Times New Roman" w:hAnsi="Times New Roman" w:cs="Times New Roman"/>
                <w:lang w:eastAsia="zh-CN"/>
              </w:rPr>
            </w:pPr>
            <w:r>
              <w:rPr>
                <w:rFonts w:ascii="Times New Roman" w:hAnsi="Times New Roman" w:cs="Times New Roman"/>
              </w:rPr>
              <w:t>2343.31</w:t>
            </w:r>
          </w:p>
        </w:tc>
      </w:tr>
    </w:tbl>
    <w:p w:rsidR="001863D8" w:rsidRPr="003A243E" w:rsidRDefault="001863D8" w:rsidP="00FA760E">
      <w:pPr>
        <w:spacing w:beforeLines="50" w:before="156" w:afterLines="50" w:after="156" w:line="360" w:lineRule="auto"/>
        <w:ind w:firstLineChars="171" w:firstLine="359"/>
        <w:rPr>
          <w:rFonts w:ascii="Times New Roman" w:hAnsi="Times New Roman" w:cs="Times New Roman"/>
        </w:rPr>
      </w:pPr>
    </w:p>
    <w:sectPr w:rsidR="001863D8" w:rsidRPr="003A243E" w:rsidSect="00F84948">
      <w:footerReference w:type="default" r:id="rId14"/>
      <w:footnotePr>
        <w:numFmt w:val="decimalEnclosedCircleChinese"/>
        <w:numRestart w:val="eachPage"/>
      </w:footnotePr>
      <w:pgSz w:w="11906" w:h="16838"/>
      <w:pgMar w:top="1440" w:right="1800" w:bottom="1440" w:left="1800" w:header="851" w:footer="1099"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425" w:rsidRDefault="006D6425" w:rsidP="006B78BB">
      <w:r>
        <w:separator/>
      </w:r>
    </w:p>
  </w:endnote>
  <w:endnote w:type="continuationSeparator" w:id="0">
    <w:p w:rsidR="006D6425" w:rsidRDefault="006D6425" w:rsidP="006B7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162636"/>
      <w:docPartObj>
        <w:docPartGallery w:val="Page Numbers (Bottom of Page)"/>
        <w:docPartUnique/>
      </w:docPartObj>
    </w:sdtPr>
    <w:sdtEndPr>
      <w:rPr>
        <w:rFonts w:ascii="Times New Roman" w:hAnsi="Times New Roman" w:cs="Times New Roman"/>
      </w:rPr>
    </w:sdtEndPr>
    <w:sdtContent>
      <w:p w:rsidR="001D67C0" w:rsidRPr="001D67C0" w:rsidRDefault="00FA760E">
        <w:pPr>
          <w:pStyle w:val="a5"/>
          <w:jc w:val="center"/>
          <w:rPr>
            <w:rFonts w:ascii="Times New Roman" w:hAnsi="Times New Roman" w:cs="Times New Roman"/>
          </w:rPr>
        </w:pPr>
        <w:r w:rsidRPr="001D67C0">
          <w:rPr>
            <w:rFonts w:ascii="Times New Roman" w:hAnsi="Times New Roman" w:cs="Times New Roman"/>
          </w:rPr>
          <w:fldChar w:fldCharType="begin"/>
        </w:r>
        <w:r w:rsidR="001D67C0" w:rsidRPr="001D67C0">
          <w:rPr>
            <w:rFonts w:ascii="Times New Roman" w:hAnsi="Times New Roman" w:cs="Times New Roman"/>
          </w:rPr>
          <w:instrText>PAGE   \* MERGEFORMAT</w:instrText>
        </w:r>
        <w:r w:rsidRPr="001D67C0">
          <w:rPr>
            <w:rFonts w:ascii="Times New Roman" w:hAnsi="Times New Roman" w:cs="Times New Roman"/>
          </w:rPr>
          <w:fldChar w:fldCharType="separate"/>
        </w:r>
        <w:r w:rsidR="00E252E6" w:rsidRPr="00E252E6">
          <w:rPr>
            <w:rFonts w:ascii="Times New Roman" w:hAnsi="Times New Roman" w:cs="Times New Roman"/>
            <w:noProof/>
            <w:lang w:val="zh-CN"/>
          </w:rPr>
          <w:t>4</w:t>
        </w:r>
        <w:r w:rsidRPr="001D67C0">
          <w:rPr>
            <w:rFonts w:ascii="Times New Roman" w:hAnsi="Times New Roman" w:cs="Times New Roman"/>
          </w:rPr>
          <w:fldChar w:fldCharType="end"/>
        </w:r>
      </w:p>
    </w:sdtContent>
  </w:sdt>
  <w:p w:rsidR="001D67C0" w:rsidRDefault="001D67C0" w:rsidP="001D67C0">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425" w:rsidRDefault="006D6425" w:rsidP="006B78BB">
      <w:r>
        <w:separator/>
      </w:r>
    </w:p>
  </w:footnote>
  <w:footnote w:type="continuationSeparator" w:id="0">
    <w:p w:rsidR="006D6425" w:rsidRDefault="006D6425" w:rsidP="006B78BB">
      <w:r>
        <w:continuationSeparator/>
      </w:r>
    </w:p>
  </w:footnote>
  <w:footnote w:id="1">
    <w:p w:rsidR="00F0184D" w:rsidRPr="006A044D" w:rsidRDefault="00F0184D" w:rsidP="00F0184D">
      <w:pPr>
        <w:pStyle w:val="ae"/>
      </w:pPr>
      <w:r w:rsidRPr="006A044D">
        <w:rPr>
          <w:rStyle w:val="af"/>
          <w:vertAlign w:val="baseline"/>
        </w:rPr>
        <w:footnoteRef/>
      </w:r>
      <w:r w:rsidR="00457D5D">
        <w:rPr>
          <w:rFonts w:hint="eastAsia"/>
        </w:rPr>
        <w:t xml:space="preserve"> </w:t>
      </w:r>
      <w:r w:rsidR="007E4D2C">
        <w:rPr>
          <w:rFonts w:hint="eastAsia"/>
        </w:rPr>
        <w:t>中国</w:t>
      </w:r>
      <w:r>
        <w:rPr>
          <w:rFonts w:hint="eastAsia"/>
        </w:rPr>
        <w:t>现行保障性住房包括廉租房、经济适用住房、公共租赁房、限价房等</w:t>
      </w:r>
      <w:r w:rsidR="00DE6A14">
        <w:rPr>
          <w:rFonts w:hint="eastAsia"/>
        </w:rPr>
        <w:t>，</w:t>
      </w:r>
      <w:r>
        <w:rPr>
          <w:rFonts w:hint="eastAsia"/>
        </w:rPr>
        <w:t>其中</w:t>
      </w:r>
      <w:r w:rsidR="00DE6A14">
        <w:rPr>
          <w:rFonts w:hint="eastAsia"/>
        </w:rPr>
        <w:t>部分保障性住房（例如限价房）</w:t>
      </w:r>
      <w:r>
        <w:rPr>
          <w:rFonts w:hint="eastAsia"/>
        </w:rPr>
        <w:t>建设用地仍需通过招拍挂方式公开出让。</w:t>
      </w:r>
    </w:p>
  </w:footnote>
  <w:footnote w:id="2">
    <w:p w:rsidR="00F0184D" w:rsidRPr="000C0048" w:rsidRDefault="00F0184D" w:rsidP="00F0184D">
      <w:pPr>
        <w:pStyle w:val="ae"/>
        <w:rPr>
          <w:rFonts w:ascii="Times New Roman" w:hAnsi="Times New Roman" w:cs="Times New Roman"/>
        </w:rPr>
      </w:pPr>
      <w:r w:rsidRPr="000C0048">
        <w:rPr>
          <w:rStyle w:val="af"/>
          <w:rFonts w:ascii="Times New Roman" w:hAnsi="Times New Roman" w:cs="Times New Roman"/>
          <w:vertAlign w:val="baseline"/>
        </w:rPr>
        <w:footnoteRef/>
      </w:r>
      <w:r w:rsidR="00457D5D">
        <w:rPr>
          <w:rFonts w:ascii="Times New Roman" w:hAnsi="Times New Roman" w:cs="Times New Roman" w:hint="eastAsia"/>
        </w:rPr>
        <w:t xml:space="preserve"> </w:t>
      </w:r>
      <w:r w:rsidRPr="000C0048">
        <w:rPr>
          <w:rFonts w:ascii="Times New Roman" w:hAnsi="Times New Roman" w:cs="Times New Roman"/>
        </w:rPr>
        <w:t>详见</w:t>
      </w:r>
      <w:r w:rsidRPr="000C0048">
        <w:rPr>
          <w:rFonts w:ascii="Times New Roman" w:hAnsi="Times New Roman" w:cs="Times New Roman"/>
        </w:rPr>
        <w:t>Cai</w:t>
      </w:r>
      <w:r w:rsidRPr="000C0048">
        <w:rPr>
          <w:rFonts w:ascii="Times New Roman" w:hAnsi="Times New Roman" w:cs="Times New Roman"/>
        </w:rPr>
        <w:t>，</w:t>
      </w:r>
      <w:r w:rsidRPr="000C0048">
        <w:rPr>
          <w:rFonts w:ascii="Times New Roman" w:hAnsi="Times New Roman" w:cs="Times New Roman"/>
        </w:rPr>
        <w:t>Henderson</w:t>
      </w:r>
      <w:r w:rsidRPr="000C0048">
        <w:rPr>
          <w:rFonts w:ascii="Times New Roman" w:hAnsi="Times New Roman" w:cs="Times New Roman"/>
        </w:rPr>
        <w:t>和</w:t>
      </w:r>
      <w:r w:rsidRPr="000C0048">
        <w:rPr>
          <w:rFonts w:ascii="Times New Roman" w:hAnsi="Times New Roman" w:cs="Times New Roman"/>
        </w:rPr>
        <w:t>Zhang</w:t>
      </w:r>
      <w:r w:rsidRPr="000C0048">
        <w:rPr>
          <w:rFonts w:ascii="Times New Roman" w:hAnsi="Times New Roman" w:cs="Times New Roman"/>
        </w:rPr>
        <w:t>（</w:t>
      </w:r>
      <w:r w:rsidRPr="000C0048">
        <w:rPr>
          <w:rFonts w:ascii="Times New Roman" w:hAnsi="Times New Roman" w:cs="Times New Roman"/>
        </w:rPr>
        <w:t>2009</w:t>
      </w:r>
      <w:r w:rsidRPr="000C0048">
        <w:rPr>
          <w:rFonts w:ascii="Times New Roman" w:hAnsi="Times New Roman" w:cs="Times New Roman"/>
        </w:rPr>
        <w:t>）的讨论。</w:t>
      </w:r>
    </w:p>
  </w:footnote>
  <w:footnote w:id="3">
    <w:p w:rsidR="00F0184D" w:rsidRPr="001D67C0" w:rsidRDefault="00F0184D" w:rsidP="00F0184D">
      <w:pPr>
        <w:pStyle w:val="ae"/>
        <w:rPr>
          <w:rFonts w:ascii="Times New Roman" w:hAnsi="Times New Roman" w:cs="Times New Roman"/>
        </w:rPr>
      </w:pPr>
      <w:r w:rsidRPr="006A044D">
        <w:rPr>
          <w:rStyle w:val="af"/>
          <w:vertAlign w:val="baseline"/>
        </w:rPr>
        <w:footnoteRef/>
      </w:r>
      <w:r w:rsidR="00457D5D">
        <w:rPr>
          <w:rFonts w:ascii="Times New Roman" w:hAnsi="Times New Roman" w:cs="Times New Roman" w:hint="eastAsia"/>
        </w:rPr>
        <w:t xml:space="preserve"> </w:t>
      </w:r>
      <w:r w:rsidRPr="001D67C0">
        <w:rPr>
          <w:rFonts w:ascii="Times New Roman" w:hAnsi="Times New Roman" w:cs="Times New Roman"/>
        </w:rPr>
        <w:t>除出让地块外，该数据库中还记录了流拍</w:t>
      </w:r>
      <w:r w:rsidR="001D67C0" w:rsidRPr="001D67C0">
        <w:rPr>
          <w:rFonts w:ascii="Times New Roman" w:hAnsi="Times New Roman" w:cs="Times New Roman"/>
        </w:rPr>
        <w:t>/</w:t>
      </w:r>
      <w:r w:rsidRPr="001D67C0">
        <w:rPr>
          <w:rFonts w:ascii="Times New Roman" w:hAnsi="Times New Roman" w:cs="Times New Roman"/>
        </w:rPr>
        <w:t>流标地块。这些地块可以被用于检验成交地块是否存在显著的选择性偏误。详见</w:t>
      </w:r>
      <w:r w:rsidRPr="001D67C0">
        <w:rPr>
          <w:rFonts w:ascii="Times New Roman" w:hAnsi="Times New Roman" w:cs="Times New Roman"/>
        </w:rPr>
        <w:t>Deng,</w:t>
      </w:r>
      <w:r w:rsidRPr="001D67C0">
        <w:rPr>
          <w:rFonts w:ascii="Times New Roman" w:hAnsi="Times New Roman" w:cs="Times New Roman"/>
        </w:rPr>
        <w:t>，</w:t>
      </w:r>
      <w:r w:rsidRPr="001D67C0">
        <w:rPr>
          <w:rFonts w:ascii="Times New Roman" w:hAnsi="Times New Roman" w:cs="Times New Roman"/>
        </w:rPr>
        <w:t>Gyourko</w:t>
      </w:r>
      <w:r w:rsidRPr="001D67C0">
        <w:rPr>
          <w:rFonts w:ascii="Times New Roman" w:hAnsi="Times New Roman" w:cs="Times New Roman"/>
        </w:rPr>
        <w:t>和</w:t>
      </w:r>
      <w:r w:rsidRPr="001D67C0">
        <w:rPr>
          <w:rFonts w:ascii="Times New Roman" w:hAnsi="Times New Roman" w:cs="Times New Roman"/>
        </w:rPr>
        <w:t>Wu</w:t>
      </w:r>
      <w:r w:rsidRPr="001D67C0">
        <w:rPr>
          <w:rFonts w:ascii="Times New Roman" w:hAnsi="Times New Roman" w:cs="Times New Roman"/>
        </w:rPr>
        <w:t>（</w:t>
      </w:r>
      <w:r w:rsidRPr="001D67C0">
        <w:rPr>
          <w:rFonts w:ascii="Times New Roman" w:hAnsi="Times New Roman" w:cs="Times New Roman"/>
        </w:rPr>
        <w:t>2012</w:t>
      </w:r>
      <w:r w:rsidRPr="001D67C0">
        <w:rPr>
          <w:rFonts w:ascii="Times New Roman" w:hAnsi="Times New Roman" w:cs="Times New Roman"/>
        </w:rPr>
        <w:t>）的讨论。</w:t>
      </w:r>
    </w:p>
  </w:footnote>
  <w:footnote w:id="4">
    <w:p w:rsidR="00004119" w:rsidRPr="001D67C0" w:rsidRDefault="00004119" w:rsidP="00004119">
      <w:pPr>
        <w:pStyle w:val="ae"/>
        <w:rPr>
          <w:rFonts w:ascii="Times New Roman" w:hAnsi="Times New Roman" w:cs="Times New Roman"/>
        </w:rPr>
      </w:pPr>
      <w:r w:rsidRPr="001D67C0">
        <w:rPr>
          <w:rStyle w:val="af"/>
          <w:rFonts w:ascii="Times New Roman" w:hAnsi="Times New Roman" w:cs="Times New Roman"/>
          <w:vertAlign w:val="baseline"/>
        </w:rPr>
        <w:footnoteRef/>
      </w:r>
      <w:r w:rsidR="00457D5D">
        <w:rPr>
          <w:rFonts w:ascii="Times New Roman" w:hAnsi="Times New Roman" w:cs="Times New Roman" w:hint="eastAsia"/>
        </w:rPr>
        <w:t xml:space="preserve"> </w:t>
      </w:r>
      <w:r w:rsidRPr="001D67C0">
        <w:rPr>
          <w:rFonts w:ascii="Times New Roman" w:hAnsi="Times New Roman" w:cs="Times New Roman"/>
        </w:rPr>
        <w:t>由于各城市在发布</w:t>
      </w:r>
      <w:r w:rsidRPr="001D67C0">
        <w:rPr>
          <w:rFonts w:ascii="Times New Roman" w:hAnsi="Times New Roman" w:cs="Times New Roman"/>
        </w:rPr>
        <w:t>CPI</w:t>
      </w:r>
      <w:r w:rsidRPr="001D67C0">
        <w:rPr>
          <w:rFonts w:ascii="Times New Roman" w:hAnsi="Times New Roman" w:cs="Times New Roman"/>
        </w:rPr>
        <w:t>指数时的滞后性，</w:t>
      </w:r>
      <w:r w:rsidR="001D67C0">
        <w:rPr>
          <w:rFonts w:ascii="Times New Roman" w:hAnsi="Times New Roman" w:cs="Times New Roman" w:hint="eastAsia"/>
        </w:rPr>
        <w:t>当</w:t>
      </w:r>
      <w:r w:rsidRPr="001D67C0">
        <w:rPr>
          <w:rFonts w:ascii="Times New Roman" w:hAnsi="Times New Roman" w:cs="Times New Roman"/>
        </w:rPr>
        <w:t>最近月份的</w:t>
      </w:r>
      <w:r w:rsidRPr="001D67C0">
        <w:rPr>
          <w:rFonts w:ascii="Times New Roman" w:hAnsi="Times New Roman" w:cs="Times New Roman"/>
        </w:rPr>
        <w:t>CPI</w:t>
      </w:r>
      <w:r w:rsidRPr="001D67C0">
        <w:rPr>
          <w:rFonts w:ascii="Times New Roman" w:hAnsi="Times New Roman" w:cs="Times New Roman"/>
        </w:rPr>
        <w:t>指数不可获得</w:t>
      </w:r>
      <w:r w:rsidR="001D67C0">
        <w:rPr>
          <w:rFonts w:ascii="Times New Roman" w:hAnsi="Times New Roman" w:cs="Times New Roman" w:hint="eastAsia"/>
        </w:rPr>
        <w:t>时</w:t>
      </w:r>
      <w:r w:rsidRPr="001D67C0">
        <w:rPr>
          <w:rFonts w:ascii="Times New Roman" w:hAnsi="Times New Roman" w:cs="Times New Roman"/>
        </w:rPr>
        <w:t>，我们将</w:t>
      </w:r>
      <w:r w:rsidR="001D67C0">
        <w:rPr>
          <w:rFonts w:ascii="Times New Roman" w:hAnsi="Times New Roman" w:cs="Times New Roman" w:hint="eastAsia"/>
        </w:rPr>
        <w:t>暂时</w:t>
      </w:r>
      <w:r w:rsidRPr="001D67C0">
        <w:rPr>
          <w:rFonts w:ascii="Times New Roman" w:hAnsi="Times New Roman" w:cs="Times New Roman"/>
        </w:rPr>
        <w:t>沿用上一月</w:t>
      </w:r>
      <w:r w:rsidR="001D67C0">
        <w:rPr>
          <w:rFonts w:ascii="Times New Roman" w:hAnsi="Times New Roman" w:cs="Times New Roman" w:hint="eastAsia"/>
        </w:rPr>
        <w:t>份</w:t>
      </w:r>
      <w:r w:rsidRPr="001D67C0">
        <w:rPr>
          <w:rFonts w:ascii="Times New Roman" w:hAnsi="Times New Roman" w:cs="Times New Roman"/>
        </w:rPr>
        <w:t>的</w:t>
      </w:r>
      <w:r w:rsidRPr="001D67C0">
        <w:rPr>
          <w:rFonts w:ascii="Times New Roman" w:hAnsi="Times New Roman" w:cs="Times New Roman"/>
        </w:rPr>
        <w:t>CPI</w:t>
      </w:r>
      <w:r w:rsidRPr="001D67C0">
        <w:rPr>
          <w:rFonts w:ascii="Times New Roman" w:hAnsi="Times New Roman" w:cs="Times New Roman"/>
        </w:rPr>
        <w:t>指数，并在</w:t>
      </w:r>
      <w:r w:rsidR="001D67C0">
        <w:rPr>
          <w:rFonts w:ascii="Times New Roman" w:hAnsi="Times New Roman" w:cs="Times New Roman"/>
        </w:rPr>
        <w:t>此</w:t>
      </w:r>
      <w:r w:rsidR="001D67C0">
        <w:rPr>
          <w:rFonts w:ascii="Times New Roman" w:hAnsi="Times New Roman" w:cs="Times New Roman" w:hint="eastAsia"/>
        </w:rPr>
        <w:t>后进行</w:t>
      </w:r>
      <w:r w:rsidRPr="001D67C0">
        <w:rPr>
          <w:rFonts w:ascii="Times New Roman" w:hAnsi="Times New Roman" w:cs="Times New Roman"/>
        </w:rPr>
        <w:t>更新时加以调整。</w:t>
      </w:r>
    </w:p>
  </w:footnote>
  <w:footnote w:id="5">
    <w:p w:rsidR="00F0184D" w:rsidRPr="006A044D" w:rsidRDefault="00F0184D" w:rsidP="00F0184D">
      <w:pPr>
        <w:pStyle w:val="ae"/>
      </w:pPr>
      <w:r w:rsidRPr="006A044D">
        <w:rPr>
          <w:rStyle w:val="af"/>
          <w:vertAlign w:val="baseline"/>
        </w:rPr>
        <w:footnoteRef/>
      </w:r>
      <w:r w:rsidR="00457D5D">
        <w:rPr>
          <w:rFonts w:hint="eastAsia"/>
        </w:rPr>
        <w:t xml:space="preserve"> </w:t>
      </w:r>
      <w:r>
        <w:rPr>
          <w:rFonts w:hint="eastAsia"/>
        </w:rPr>
        <w:t>如果地块交易时该城市没有在营地铁线路，则该地块该变量记为缺失（其他变量不受影响）。</w:t>
      </w:r>
    </w:p>
  </w:footnote>
  <w:footnote w:id="6">
    <w:p w:rsidR="00004119" w:rsidRPr="006A044D" w:rsidRDefault="00004119" w:rsidP="00004119">
      <w:pPr>
        <w:pStyle w:val="ae"/>
      </w:pPr>
      <w:r w:rsidRPr="006A044D">
        <w:rPr>
          <w:rStyle w:val="af"/>
          <w:vertAlign w:val="baseline"/>
        </w:rPr>
        <w:footnoteRef/>
      </w:r>
      <w:r w:rsidR="00457D5D">
        <w:rPr>
          <w:rFonts w:hint="eastAsia"/>
        </w:rPr>
        <w:t xml:space="preserve"> </w:t>
      </w:r>
      <w:r w:rsidR="006F7BCE">
        <w:rPr>
          <w:rFonts w:hint="eastAsia"/>
        </w:rPr>
        <w:t>北京等部分城市中，我们还可以获取更丰富的地块属性信息，例如</w:t>
      </w:r>
      <w:r w:rsidR="001D67C0">
        <w:rPr>
          <w:rFonts w:hint="eastAsia"/>
        </w:rPr>
        <w:t>代征地面积、</w:t>
      </w:r>
      <w:r>
        <w:rPr>
          <w:rFonts w:hint="eastAsia"/>
        </w:rPr>
        <w:t>土地是否已经平整</w:t>
      </w:r>
      <w:r w:rsidR="00F0184D">
        <w:rPr>
          <w:rFonts w:hint="eastAsia"/>
        </w:rPr>
        <w:t>、配套条件等。在这些城市中，我们</w:t>
      </w:r>
      <w:r w:rsidR="001D67C0">
        <w:rPr>
          <w:rFonts w:hint="eastAsia"/>
        </w:rPr>
        <w:t>曾</w:t>
      </w:r>
      <w:r w:rsidR="00F0184D">
        <w:rPr>
          <w:rFonts w:hint="eastAsia"/>
        </w:rPr>
        <w:t>尝试将这些变量也引入特征价格模型。尽管这些变量中有些是显著的，但并未对</w:t>
      </w:r>
      <w:r w:rsidR="001D67C0">
        <w:rPr>
          <w:rFonts w:hint="eastAsia"/>
        </w:rPr>
        <w:t>最终</w:t>
      </w:r>
      <w:r w:rsidR="00F0184D">
        <w:rPr>
          <w:rFonts w:hint="eastAsia"/>
        </w:rPr>
        <w:t>计算得到的价格指数产生实质性影响。因此，为保证不同城市间</w:t>
      </w:r>
      <w:r w:rsidR="001D67C0">
        <w:rPr>
          <w:rFonts w:hint="eastAsia"/>
        </w:rPr>
        <w:t>编制</w:t>
      </w:r>
      <w:r w:rsidR="00F0184D">
        <w:rPr>
          <w:rFonts w:hint="eastAsia"/>
        </w:rPr>
        <w:t>方法的一致性，我们最终</w:t>
      </w:r>
      <w:r w:rsidR="001D67C0">
        <w:rPr>
          <w:rFonts w:hint="eastAsia"/>
        </w:rPr>
        <w:t>选择</w:t>
      </w:r>
      <w:r w:rsidR="00F0184D">
        <w:rPr>
          <w:rFonts w:hint="eastAsia"/>
        </w:rPr>
        <w:t>在各城市特征价格模型中均引入相同的地块属性。</w:t>
      </w:r>
    </w:p>
  </w:footnote>
  <w:footnote w:id="7">
    <w:p w:rsidR="00004119" w:rsidRPr="001D67C0" w:rsidRDefault="00004119" w:rsidP="00004119">
      <w:pPr>
        <w:pStyle w:val="ae"/>
        <w:rPr>
          <w:rFonts w:ascii="Times New Roman" w:hAnsi="Times New Roman" w:cs="Times New Roman"/>
        </w:rPr>
      </w:pPr>
      <w:r w:rsidRPr="001D67C0">
        <w:rPr>
          <w:rStyle w:val="af"/>
          <w:rFonts w:ascii="Times New Roman" w:hAnsi="Times New Roman" w:cs="Times New Roman"/>
          <w:vertAlign w:val="baseline"/>
        </w:rPr>
        <w:footnoteRef/>
      </w:r>
      <w:r w:rsidR="00457D5D">
        <w:rPr>
          <w:rFonts w:ascii="Times New Roman" w:hAnsi="Times New Roman" w:cs="Times New Roman" w:hint="eastAsia"/>
        </w:rPr>
        <w:t xml:space="preserve"> </w:t>
      </w:r>
      <w:r w:rsidRPr="001D67C0">
        <w:rPr>
          <w:rFonts w:ascii="Times New Roman" w:hAnsi="Times New Roman" w:cs="Times New Roman"/>
        </w:rPr>
        <w:t>特征价格法是住房和土地价格指数编制的常用方法。对该方法的更详细介绍可参见</w:t>
      </w:r>
      <w:r w:rsidRPr="001D67C0">
        <w:rPr>
          <w:rFonts w:ascii="Times New Roman" w:hAnsi="Times New Roman" w:cs="Times New Roman"/>
        </w:rPr>
        <w:t>Kain</w:t>
      </w:r>
      <w:r w:rsidRPr="001D67C0">
        <w:rPr>
          <w:rFonts w:ascii="Times New Roman" w:hAnsi="Times New Roman" w:cs="Times New Roman"/>
        </w:rPr>
        <w:t>和</w:t>
      </w:r>
      <w:r w:rsidRPr="001D67C0">
        <w:rPr>
          <w:rFonts w:ascii="Times New Roman" w:hAnsi="Times New Roman" w:cs="Times New Roman"/>
        </w:rPr>
        <w:t>Quigley</w:t>
      </w:r>
      <w:r w:rsidRPr="001D67C0">
        <w:rPr>
          <w:rFonts w:ascii="Times New Roman" w:hAnsi="Times New Roman" w:cs="Times New Roman"/>
        </w:rPr>
        <w:t>（</w:t>
      </w:r>
      <w:r w:rsidRPr="001D67C0">
        <w:rPr>
          <w:rFonts w:ascii="Times New Roman" w:hAnsi="Times New Roman" w:cs="Times New Roman"/>
        </w:rPr>
        <w:t>1970</w:t>
      </w:r>
      <w:r w:rsidRPr="001D67C0">
        <w:rPr>
          <w:rFonts w:ascii="Times New Roman" w:hAnsi="Times New Roman" w:cs="Times New Roman"/>
        </w:rPr>
        <w:t>）、</w:t>
      </w:r>
      <w:r w:rsidRPr="001D67C0">
        <w:rPr>
          <w:rFonts w:ascii="Times New Roman" w:hAnsi="Times New Roman" w:cs="Times New Roman"/>
        </w:rPr>
        <w:t>Thibodeau</w:t>
      </w:r>
      <w:r w:rsidRPr="001D67C0">
        <w:rPr>
          <w:rFonts w:ascii="Times New Roman" w:hAnsi="Times New Roman" w:cs="Times New Roman"/>
        </w:rPr>
        <w:t>（</w:t>
      </w:r>
      <w:r w:rsidRPr="001D67C0">
        <w:rPr>
          <w:rFonts w:ascii="Times New Roman" w:hAnsi="Times New Roman" w:cs="Times New Roman"/>
        </w:rPr>
        <w:t>1989</w:t>
      </w:r>
      <w:r w:rsidRPr="001D67C0">
        <w:rPr>
          <w:rFonts w:ascii="Times New Roman" w:hAnsi="Times New Roman" w:cs="Times New Roman"/>
        </w:rPr>
        <w:t>）等在美国住房价格统计中的应用，或</w:t>
      </w:r>
      <w:r w:rsidRPr="001D67C0">
        <w:rPr>
          <w:rFonts w:ascii="Times New Roman" w:hAnsi="Times New Roman" w:cs="Times New Roman"/>
        </w:rPr>
        <w:t>Wu</w:t>
      </w:r>
      <w:r w:rsidRPr="001D67C0">
        <w:rPr>
          <w:rFonts w:ascii="Times New Roman" w:hAnsi="Times New Roman" w:cs="Times New Roman"/>
        </w:rPr>
        <w:t>，</w:t>
      </w:r>
      <w:r w:rsidRPr="001D67C0">
        <w:rPr>
          <w:rFonts w:ascii="Times New Roman" w:hAnsi="Times New Roman" w:cs="Times New Roman"/>
        </w:rPr>
        <w:t>Deng</w:t>
      </w:r>
      <w:r w:rsidRPr="001D67C0">
        <w:rPr>
          <w:rFonts w:ascii="Times New Roman" w:hAnsi="Times New Roman" w:cs="Times New Roman"/>
        </w:rPr>
        <w:t>和</w:t>
      </w:r>
      <w:r w:rsidRPr="001D67C0">
        <w:rPr>
          <w:rFonts w:ascii="Times New Roman" w:hAnsi="Times New Roman" w:cs="Times New Roman"/>
        </w:rPr>
        <w:t>Liu</w:t>
      </w:r>
      <w:r w:rsidRPr="001D67C0">
        <w:rPr>
          <w:rFonts w:ascii="Times New Roman" w:hAnsi="Times New Roman" w:cs="Times New Roman"/>
        </w:rPr>
        <w:t>（</w:t>
      </w:r>
      <w:r w:rsidRPr="001D67C0">
        <w:rPr>
          <w:rFonts w:ascii="Times New Roman" w:hAnsi="Times New Roman" w:cs="Times New Roman"/>
        </w:rPr>
        <w:t>2013</w:t>
      </w:r>
      <w:r w:rsidRPr="001D67C0">
        <w:rPr>
          <w:rFonts w:ascii="Times New Roman" w:hAnsi="Times New Roman" w:cs="Times New Roman"/>
        </w:rPr>
        <w:t>）近期对中国住房价格统计的讨论。</w:t>
      </w:r>
    </w:p>
  </w:footnote>
  <w:footnote w:id="8">
    <w:p w:rsidR="00E21419" w:rsidRPr="005645AF" w:rsidRDefault="00E21419">
      <w:pPr>
        <w:pStyle w:val="ae"/>
        <w:rPr>
          <w:rFonts w:ascii="Times New Roman" w:hAnsi="Times New Roman" w:cs="Times New Roman"/>
        </w:rPr>
      </w:pPr>
      <w:r w:rsidRPr="005645AF">
        <w:rPr>
          <w:rStyle w:val="af"/>
          <w:rFonts w:ascii="Times New Roman" w:hAnsi="Times New Roman" w:cs="Times New Roman"/>
          <w:vertAlign w:val="baseline"/>
        </w:rPr>
        <w:footnoteRef/>
      </w:r>
      <w:r w:rsidR="00457D5D">
        <w:rPr>
          <w:rFonts w:ascii="Times New Roman" w:hAnsi="Times New Roman" w:cs="Times New Roman" w:hint="eastAsia"/>
        </w:rPr>
        <w:t xml:space="preserve"> </w:t>
      </w:r>
      <w:r w:rsidRPr="005645AF">
        <w:rPr>
          <w:rFonts w:ascii="Times New Roman" w:hAnsi="Times New Roman" w:cs="Times New Roman"/>
        </w:rPr>
        <w:t>除了这里采用的一次性建模形式特征价格模型外，还可以采用其他形式。例如可以逐年分别建立和估计特征价格模型，再将选定的</w:t>
      </w:r>
      <w:r w:rsidR="00F84948">
        <w:rPr>
          <w:rFonts w:ascii="Times New Roman" w:hAnsi="Times New Roman" w:cs="Times New Roman" w:hint="eastAsia"/>
        </w:rPr>
        <w:t>“</w:t>
      </w:r>
      <w:r w:rsidRPr="005645AF">
        <w:rPr>
          <w:rFonts w:ascii="Times New Roman" w:hAnsi="Times New Roman" w:cs="Times New Roman"/>
        </w:rPr>
        <w:t>标准地块</w:t>
      </w:r>
      <w:r w:rsidR="00F84948">
        <w:rPr>
          <w:rFonts w:ascii="Times New Roman" w:hAnsi="Times New Roman" w:cs="Times New Roman" w:hint="eastAsia"/>
        </w:rPr>
        <w:t>”</w:t>
      </w:r>
      <w:r w:rsidRPr="005645AF">
        <w:rPr>
          <w:rFonts w:ascii="Times New Roman" w:hAnsi="Times New Roman" w:cs="Times New Roman"/>
        </w:rPr>
        <w:t>分别代入各年的特征价格模型，以此作为计算价格指数的基础。</w:t>
      </w:r>
    </w:p>
  </w:footnote>
  <w:footnote w:id="9">
    <w:p w:rsidR="005D142F" w:rsidRPr="006A044D" w:rsidRDefault="005D142F" w:rsidP="005D142F">
      <w:pPr>
        <w:pStyle w:val="ae"/>
      </w:pPr>
      <w:r w:rsidRPr="005645AF">
        <w:rPr>
          <w:rStyle w:val="af"/>
          <w:rFonts w:ascii="Times New Roman" w:hAnsi="Times New Roman" w:cs="Times New Roman"/>
          <w:vertAlign w:val="baseline"/>
        </w:rPr>
        <w:footnoteRef/>
      </w:r>
      <w:r w:rsidR="00457D5D">
        <w:rPr>
          <w:rFonts w:ascii="Times New Roman" w:hAnsi="Times New Roman" w:cs="Times New Roman" w:hint="eastAsia"/>
        </w:rPr>
        <w:t xml:space="preserve"> </w:t>
      </w:r>
      <w:r w:rsidRPr="005645AF">
        <w:rPr>
          <w:rFonts w:ascii="Times New Roman" w:hAnsi="Times New Roman" w:cs="Times New Roman"/>
        </w:rPr>
        <w:t>对此问题的更详细讨论参见</w:t>
      </w:r>
      <w:r w:rsidRPr="005645AF">
        <w:rPr>
          <w:rFonts w:ascii="Times New Roman" w:hAnsi="Times New Roman" w:cs="Times New Roman"/>
        </w:rPr>
        <w:t>Deng</w:t>
      </w:r>
      <w:r w:rsidRPr="005645AF">
        <w:rPr>
          <w:rFonts w:ascii="Times New Roman" w:hAnsi="Times New Roman" w:cs="Times New Roman"/>
        </w:rPr>
        <w:t>和</w:t>
      </w:r>
      <w:r w:rsidRPr="005645AF">
        <w:rPr>
          <w:rFonts w:ascii="Times New Roman" w:hAnsi="Times New Roman" w:cs="Times New Roman"/>
        </w:rPr>
        <w:t>Quigley</w:t>
      </w:r>
      <w:r w:rsidRPr="005645AF">
        <w:rPr>
          <w:rFonts w:ascii="Times New Roman" w:hAnsi="Times New Roman" w:cs="Times New Roman"/>
        </w:rPr>
        <w:t>（</w:t>
      </w:r>
      <w:r w:rsidRPr="005645AF">
        <w:rPr>
          <w:rFonts w:ascii="Times New Roman" w:hAnsi="Times New Roman" w:cs="Times New Roman"/>
        </w:rPr>
        <w:t>2008</w:t>
      </w:r>
      <w:r w:rsidRPr="005645AF">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350597"/>
    <w:multiLevelType w:val="hybridMultilevel"/>
    <w:tmpl w:val="2DD226C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nsid w:val="2AC33DCE"/>
    <w:multiLevelType w:val="hybridMultilevel"/>
    <w:tmpl w:val="053C192E"/>
    <w:lvl w:ilvl="0" w:tplc="EBE8DF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6787AE7"/>
    <w:multiLevelType w:val="hybridMultilevel"/>
    <w:tmpl w:val="6554B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nsid w:val="60BC45EF"/>
    <w:multiLevelType w:val="hybridMultilevel"/>
    <w:tmpl w:val="4FA4C410"/>
    <w:lvl w:ilvl="0" w:tplc="7332D2CC">
      <w:start w:val="1"/>
      <w:numFmt w:val="upperRoman"/>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21C30"/>
    <w:rsid w:val="00004119"/>
    <w:rsid w:val="0003260F"/>
    <w:rsid w:val="00057C7E"/>
    <w:rsid w:val="0006692F"/>
    <w:rsid w:val="00076742"/>
    <w:rsid w:val="000B207C"/>
    <w:rsid w:val="000C0048"/>
    <w:rsid w:val="000C5507"/>
    <w:rsid w:val="000E21A0"/>
    <w:rsid w:val="000F0B96"/>
    <w:rsid w:val="001165FF"/>
    <w:rsid w:val="00117488"/>
    <w:rsid w:val="001236D3"/>
    <w:rsid w:val="001253EC"/>
    <w:rsid w:val="0013065A"/>
    <w:rsid w:val="0015196E"/>
    <w:rsid w:val="001863D8"/>
    <w:rsid w:val="001C4920"/>
    <w:rsid w:val="001D67C0"/>
    <w:rsid w:val="001D6C3F"/>
    <w:rsid w:val="00203B7B"/>
    <w:rsid w:val="0021799D"/>
    <w:rsid w:val="00220902"/>
    <w:rsid w:val="00220C0D"/>
    <w:rsid w:val="002270C3"/>
    <w:rsid w:val="002336A7"/>
    <w:rsid w:val="0023423D"/>
    <w:rsid w:val="00281A75"/>
    <w:rsid w:val="002B7BC8"/>
    <w:rsid w:val="002B7EB0"/>
    <w:rsid w:val="002E59D2"/>
    <w:rsid w:val="00304A76"/>
    <w:rsid w:val="00311F8B"/>
    <w:rsid w:val="00321723"/>
    <w:rsid w:val="00324EB6"/>
    <w:rsid w:val="00325AF8"/>
    <w:rsid w:val="00327916"/>
    <w:rsid w:val="00344F67"/>
    <w:rsid w:val="00364F97"/>
    <w:rsid w:val="00376833"/>
    <w:rsid w:val="00396709"/>
    <w:rsid w:val="00397F15"/>
    <w:rsid w:val="003A243E"/>
    <w:rsid w:val="003B4061"/>
    <w:rsid w:val="003C6991"/>
    <w:rsid w:val="003E21D4"/>
    <w:rsid w:val="00426CC9"/>
    <w:rsid w:val="00435AE2"/>
    <w:rsid w:val="00442EB3"/>
    <w:rsid w:val="00446109"/>
    <w:rsid w:val="00456B87"/>
    <w:rsid w:val="00457D5D"/>
    <w:rsid w:val="0046207C"/>
    <w:rsid w:val="00462268"/>
    <w:rsid w:val="004E6C90"/>
    <w:rsid w:val="00501F93"/>
    <w:rsid w:val="0051520F"/>
    <w:rsid w:val="005217AE"/>
    <w:rsid w:val="005645AF"/>
    <w:rsid w:val="00584C1C"/>
    <w:rsid w:val="005A7B5F"/>
    <w:rsid w:val="005B3116"/>
    <w:rsid w:val="005B5B65"/>
    <w:rsid w:val="005C5465"/>
    <w:rsid w:val="005D142F"/>
    <w:rsid w:val="005D7AF2"/>
    <w:rsid w:val="0062563F"/>
    <w:rsid w:val="00627F40"/>
    <w:rsid w:val="00641601"/>
    <w:rsid w:val="006505FD"/>
    <w:rsid w:val="00652185"/>
    <w:rsid w:val="006537B5"/>
    <w:rsid w:val="006665D2"/>
    <w:rsid w:val="00670703"/>
    <w:rsid w:val="0067303C"/>
    <w:rsid w:val="00674971"/>
    <w:rsid w:val="0069478C"/>
    <w:rsid w:val="00695189"/>
    <w:rsid w:val="0069628A"/>
    <w:rsid w:val="006A044D"/>
    <w:rsid w:val="006A3A37"/>
    <w:rsid w:val="006B78BB"/>
    <w:rsid w:val="006D6425"/>
    <w:rsid w:val="006E1DBC"/>
    <w:rsid w:val="006F7340"/>
    <w:rsid w:val="006F7BCE"/>
    <w:rsid w:val="00724508"/>
    <w:rsid w:val="00740DFB"/>
    <w:rsid w:val="007472A4"/>
    <w:rsid w:val="0075621C"/>
    <w:rsid w:val="00766813"/>
    <w:rsid w:val="00784777"/>
    <w:rsid w:val="007B79E1"/>
    <w:rsid w:val="007E4D2C"/>
    <w:rsid w:val="007F1307"/>
    <w:rsid w:val="007F4D53"/>
    <w:rsid w:val="008010A1"/>
    <w:rsid w:val="0080509C"/>
    <w:rsid w:val="00831F20"/>
    <w:rsid w:val="00867338"/>
    <w:rsid w:val="00867D27"/>
    <w:rsid w:val="00875076"/>
    <w:rsid w:val="00883BD7"/>
    <w:rsid w:val="008849C3"/>
    <w:rsid w:val="008A5161"/>
    <w:rsid w:val="008B0E88"/>
    <w:rsid w:val="00901E70"/>
    <w:rsid w:val="00910ED5"/>
    <w:rsid w:val="0091168E"/>
    <w:rsid w:val="00924C61"/>
    <w:rsid w:val="00946563"/>
    <w:rsid w:val="009F7FDD"/>
    <w:rsid w:val="00A63045"/>
    <w:rsid w:val="00A72853"/>
    <w:rsid w:val="00AB013F"/>
    <w:rsid w:val="00AC2ED7"/>
    <w:rsid w:val="00AC58D2"/>
    <w:rsid w:val="00AE7C6B"/>
    <w:rsid w:val="00B2146C"/>
    <w:rsid w:val="00B35817"/>
    <w:rsid w:val="00B3601C"/>
    <w:rsid w:val="00B564B4"/>
    <w:rsid w:val="00B61145"/>
    <w:rsid w:val="00B67453"/>
    <w:rsid w:val="00B85D48"/>
    <w:rsid w:val="00B90CCB"/>
    <w:rsid w:val="00B92E78"/>
    <w:rsid w:val="00B96978"/>
    <w:rsid w:val="00BD247F"/>
    <w:rsid w:val="00BD6538"/>
    <w:rsid w:val="00BE0A19"/>
    <w:rsid w:val="00BE68E5"/>
    <w:rsid w:val="00C13C90"/>
    <w:rsid w:val="00C26F0A"/>
    <w:rsid w:val="00CB22E8"/>
    <w:rsid w:val="00CC4045"/>
    <w:rsid w:val="00CC6202"/>
    <w:rsid w:val="00CD403B"/>
    <w:rsid w:val="00D018CA"/>
    <w:rsid w:val="00D21C30"/>
    <w:rsid w:val="00D23CC6"/>
    <w:rsid w:val="00D74F0B"/>
    <w:rsid w:val="00D8160F"/>
    <w:rsid w:val="00DB0803"/>
    <w:rsid w:val="00DB3C60"/>
    <w:rsid w:val="00DC7A63"/>
    <w:rsid w:val="00DE6A14"/>
    <w:rsid w:val="00E20645"/>
    <w:rsid w:val="00E21419"/>
    <w:rsid w:val="00E252E6"/>
    <w:rsid w:val="00E6025F"/>
    <w:rsid w:val="00E617A2"/>
    <w:rsid w:val="00E81937"/>
    <w:rsid w:val="00E94F92"/>
    <w:rsid w:val="00EB1560"/>
    <w:rsid w:val="00EB549E"/>
    <w:rsid w:val="00EC54A7"/>
    <w:rsid w:val="00EE0523"/>
    <w:rsid w:val="00F0184D"/>
    <w:rsid w:val="00F47240"/>
    <w:rsid w:val="00F6691F"/>
    <w:rsid w:val="00F80B9C"/>
    <w:rsid w:val="00F84948"/>
    <w:rsid w:val="00F93527"/>
    <w:rsid w:val="00FA1E50"/>
    <w:rsid w:val="00FA760E"/>
    <w:rsid w:val="00FE4ACD"/>
    <w:rsid w:val="00FE7D71"/>
    <w:rsid w:val="00FF7A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8E78BD4-F3A5-4BCF-87A3-DFCE4B0F6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5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9628A"/>
    <w:pPr>
      <w:ind w:firstLineChars="200" w:firstLine="420"/>
    </w:pPr>
  </w:style>
  <w:style w:type="paragraph" w:styleId="a4">
    <w:name w:val="header"/>
    <w:basedOn w:val="a"/>
    <w:link w:val="Char"/>
    <w:uiPriority w:val="99"/>
    <w:unhideWhenUsed/>
    <w:rsid w:val="006B78B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B78BB"/>
    <w:rPr>
      <w:sz w:val="18"/>
      <w:szCs w:val="18"/>
    </w:rPr>
  </w:style>
  <w:style w:type="paragraph" w:styleId="a5">
    <w:name w:val="footer"/>
    <w:basedOn w:val="a"/>
    <w:link w:val="Char0"/>
    <w:uiPriority w:val="99"/>
    <w:unhideWhenUsed/>
    <w:rsid w:val="006B78BB"/>
    <w:pPr>
      <w:tabs>
        <w:tab w:val="center" w:pos="4153"/>
        <w:tab w:val="right" w:pos="8306"/>
      </w:tabs>
      <w:snapToGrid w:val="0"/>
      <w:jc w:val="left"/>
    </w:pPr>
    <w:rPr>
      <w:sz w:val="18"/>
      <w:szCs w:val="18"/>
    </w:rPr>
  </w:style>
  <w:style w:type="character" w:customStyle="1" w:styleId="Char0">
    <w:name w:val="页脚 Char"/>
    <w:basedOn w:val="a0"/>
    <w:link w:val="a5"/>
    <w:uiPriority w:val="99"/>
    <w:rsid w:val="006B78BB"/>
    <w:rPr>
      <w:sz w:val="18"/>
      <w:szCs w:val="18"/>
    </w:rPr>
  </w:style>
  <w:style w:type="paragraph" w:styleId="a6">
    <w:name w:val="Balloon Text"/>
    <w:basedOn w:val="a"/>
    <w:link w:val="Char1"/>
    <w:uiPriority w:val="99"/>
    <w:semiHidden/>
    <w:unhideWhenUsed/>
    <w:rsid w:val="00F93527"/>
    <w:rPr>
      <w:sz w:val="18"/>
      <w:szCs w:val="18"/>
    </w:rPr>
  </w:style>
  <w:style w:type="character" w:customStyle="1" w:styleId="Char1">
    <w:name w:val="批注框文本 Char"/>
    <w:basedOn w:val="a0"/>
    <w:link w:val="a6"/>
    <w:uiPriority w:val="99"/>
    <w:semiHidden/>
    <w:rsid w:val="00F93527"/>
    <w:rPr>
      <w:sz w:val="18"/>
      <w:szCs w:val="18"/>
    </w:rPr>
  </w:style>
  <w:style w:type="character" w:styleId="a7">
    <w:name w:val="Placeholder Text"/>
    <w:basedOn w:val="a0"/>
    <w:uiPriority w:val="99"/>
    <w:semiHidden/>
    <w:rsid w:val="00901E70"/>
    <w:rPr>
      <w:color w:val="808080"/>
    </w:rPr>
  </w:style>
  <w:style w:type="character" w:styleId="a8">
    <w:name w:val="Hyperlink"/>
    <w:basedOn w:val="a0"/>
    <w:uiPriority w:val="99"/>
    <w:unhideWhenUsed/>
    <w:rsid w:val="00304A76"/>
    <w:rPr>
      <w:color w:val="0000FF" w:themeColor="hyperlink"/>
      <w:u w:val="single"/>
    </w:rPr>
  </w:style>
  <w:style w:type="table" w:styleId="a9">
    <w:name w:val="Table Grid"/>
    <w:basedOn w:val="a1"/>
    <w:uiPriority w:val="59"/>
    <w:rsid w:val="001863D8"/>
    <w:rPr>
      <w:kern w:val="0"/>
      <w:sz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uiPriority w:val="99"/>
    <w:semiHidden/>
    <w:unhideWhenUsed/>
    <w:rsid w:val="000E21A0"/>
    <w:rPr>
      <w:sz w:val="21"/>
      <w:szCs w:val="21"/>
    </w:rPr>
  </w:style>
  <w:style w:type="paragraph" w:styleId="ab">
    <w:name w:val="annotation text"/>
    <w:basedOn w:val="a"/>
    <w:link w:val="Char2"/>
    <w:uiPriority w:val="99"/>
    <w:semiHidden/>
    <w:unhideWhenUsed/>
    <w:rsid w:val="000E21A0"/>
    <w:pPr>
      <w:jc w:val="left"/>
    </w:pPr>
  </w:style>
  <w:style w:type="character" w:customStyle="1" w:styleId="Char2">
    <w:name w:val="批注文字 Char"/>
    <w:basedOn w:val="a0"/>
    <w:link w:val="ab"/>
    <w:uiPriority w:val="99"/>
    <w:semiHidden/>
    <w:rsid w:val="000E21A0"/>
  </w:style>
  <w:style w:type="paragraph" w:styleId="ac">
    <w:name w:val="annotation subject"/>
    <w:basedOn w:val="ab"/>
    <w:next w:val="ab"/>
    <w:link w:val="Char3"/>
    <w:uiPriority w:val="99"/>
    <w:semiHidden/>
    <w:unhideWhenUsed/>
    <w:rsid w:val="000E21A0"/>
    <w:rPr>
      <w:b/>
      <w:bCs/>
    </w:rPr>
  </w:style>
  <w:style w:type="character" w:customStyle="1" w:styleId="Char3">
    <w:name w:val="批注主题 Char"/>
    <w:basedOn w:val="Char2"/>
    <w:link w:val="ac"/>
    <w:uiPriority w:val="99"/>
    <w:semiHidden/>
    <w:rsid w:val="000E21A0"/>
    <w:rPr>
      <w:b/>
      <w:bCs/>
    </w:rPr>
  </w:style>
  <w:style w:type="paragraph" w:styleId="ad">
    <w:name w:val="Date"/>
    <w:basedOn w:val="a"/>
    <w:next w:val="a"/>
    <w:link w:val="Char4"/>
    <w:uiPriority w:val="99"/>
    <w:semiHidden/>
    <w:unhideWhenUsed/>
    <w:rsid w:val="00220902"/>
    <w:pPr>
      <w:ind w:leftChars="2500" w:left="100"/>
    </w:pPr>
  </w:style>
  <w:style w:type="character" w:customStyle="1" w:styleId="Char4">
    <w:name w:val="日期 Char"/>
    <w:basedOn w:val="a0"/>
    <w:link w:val="ad"/>
    <w:uiPriority w:val="99"/>
    <w:semiHidden/>
    <w:rsid w:val="00220902"/>
  </w:style>
  <w:style w:type="paragraph" w:styleId="ae">
    <w:name w:val="footnote text"/>
    <w:basedOn w:val="a"/>
    <w:link w:val="Char5"/>
    <w:uiPriority w:val="99"/>
    <w:semiHidden/>
    <w:unhideWhenUsed/>
    <w:rsid w:val="006A044D"/>
    <w:pPr>
      <w:snapToGrid w:val="0"/>
      <w:jc w:val="left"/>
    </w:pPr>
    <w:rPr>
      <w:sz w:val="18"/>
      <w:szCs w:val="18"/>
    </w:rPr>
  </w:style>
  <w:style w:type="character" w:customStyle="1" w:styleId="Char5">
    <w:name w:val="脚注文本 Char"/>
    <w:basedOn w:val="a0"/>
    <w:link w:val="ae"/>
    <w:uiPriority w:val="99"/>
    <w:semiHidden/>
    <w:rsid w:val="006A044D"/>
    <w:rPr>
      <w:sz w:val="18"/>
      <w:szCs w:val="18"/>
    </w:rPr>
  </w:style>
  <w:style w:type="character" w:styleId="af">
    <w:name w:val="footnote reference"/>
    <w:basedOn w:val="a0"/>
    <w:uiPriority w:val="99"/>
    <w:semiHidden/>
    <w:unhideWhenUsed/>
    <w:rsid w:val="006A04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23680">
      <w:bodyDiv w:val="1"/>
      <w:marLeft w:val="0"/>
      <w:marRight w:val="0"/>
      <w:marTop w:val="0"/>
      <w:marBottom w:val="0"/>
      <w:divBdr>
        <w:top w:val="none" w:sz="0" w:space="0" w:color="auto"/>
        <w:left w:val="none" w:sz="0" w:space="0" w:color="auto"/>
        <w:bottom w:val="none" w:sz="0" w:space="0" w:color="auto"/>
        <w:right w:val="none" w:sz="0" w:space="0" w:color="auto"/>
      </w:divBdr>
    </w:div>
    <w:div w:id="152373419">
      <w:bodyDiv w:val="1"/>
      <w:marLeft w:val="0"/>
      <w:marRight w:val="0"/>
      <w:marTop w:val="0"/>
      <w:marBottom w:val="0"/>
      <w:divBdr>
        <w:top w:val="none" w:sz="0" w:space="0" w:color="auto"/>
        <w:left w:val="none" w:sz="0" w:space="0" w:color="auto"/>
        <w:bottom w:val="none" w:sz="0" w:space="0" w:color="auto"/>
        <w:right w:val="none" w:sz="0" w:space="0" w:color="auto"/>
      </w:divBdr>
    </w:div>
    <w:div w:id="343895969">
      <w:bodyDiv w:val="1"/>
      <w:marLeft w:val="0"/>
      <w:marRight w:val="0"/>
      <w:marTop w:val="0"/>
      <w:marBottom w:val="0"/>
      <w:divBdr>
        <w:top w:val="none" w:sz="0" w:space="0" w:color="auto"/>
        <w:left w:val="none" w:sz="0" w:space="0" w:color="auto"/>
        <w:bottom w:val="none" w:sz="0" w:space="0" w:color="auto"/>
        <w:right w:val="none" w:sz="0" w:space="0" w:color="auto"/>
      </w:divBdr>
    </w:div>
    <w:div w:id="364062833">
      <w:bodyDiv w:val="1"/>
      <w:marLeft w:val="0"/>
      <w:marRight w:val="0"/>
      <w:marTop w:val="0"/>
      <w:marBottom w:val="0"/>
      <w:divBdr>
        <w:top w:val="none" w:sz="0" w:space="0" w:color="auto"/>
        <w:left w:val="none" w:sz="0" w:space="0" w:color="auto"/>
        <w:bottom w:val="none" w:sz="0" w:space="0" w:color="auto"/>
        <w:right w:val="none" w:sz="0" w:space="0" w:color="auto"/>
      </w:divBdr>
    </w:div>
    <w:div w:id="494340224">
      <w:bodyDiv w:val="1"/>
      <w:marLeft w:val="0"/>
      <w:marRight w:val="0"/>
      <w:marTop w:val="0"/>
      <w:marBottom w:val="0"/>
      <w:divBdr>
        <w:top w:val="none" w:sz="0" w:space="0" w:color="auto"/>
        <w:left w:val="none" w:sz="0" w:space="0" w:color="auto"/>
        <w:bottom w:val="none" w:sz="0" w:space="0" w:color="auto"/>
        <w:right w:val="none" w:sz="0" w:space="0" w:color="auto"/>
      </w:divBdr>
    </w:div>
    <w:div w:id="717509888">
      <w:bodyDiv w:val="1"/>
      <w:marLeft w:val="0"/>
      <w:marRight w:val="0"/>
      <w:marTop w:val="0"/>
      <w:marBottom w:val="0"/>
      <w:divBdr>
        <w:top w:val="none" w:sz="0" w:space="0" w:color="auto"/>
        <w:left w:val="none" w:sz="0" w:space="0" w:color="auto"/>
        <w:bottom w:val="none" w:sz="0" w:space="0" w:color="auto"/>
        <w:right w:val="none" w:sz="0" w:space="0" w:color="auto"/>
      </w:divBdr>
    </w:div>
    <w:div w:id="739865956">
      <w:bodyDiv w:val="1"/>
      <w:marLeft w:val="0"/>
      <w:marRight w:val="0"/>
      <w:marTop w:val="0"/>
      <w:marBottom w:val="0"/>
      <w:divBdr>
        <w:top w:val="none" w:sz="0" w:space="0" w:color="auto"/>
        <w:left w:val="none" w:sz="0" w:space="0" w:color="auto"/>
        <w:bottom w:val="none" w:sz="0" w:space="0" w:color="auto"/>
        <w:right w:val="none" w:sz="0" w:space="0" w:color="auto"/>
      </w:divBdr>
    </w:div>
    <w:div w:id="754322965">
      <w:bodyDiv w:val="1"/>
      <w:marLeft w:val="0"/>
      <w:marRight w:val="0"/>
      <w:marTop w:val="0"/>
      <w:marBottom w:val="0"/>
      <w:divBdr>
        <w:top w:val="none" w:sz="0" w:space="0" w:color="auto"/>
        <w:left w:val="none" w:sz="0" w:space="0" w:color="auto"/>
        <w:bottom w:val="none" w:sz="0" w:space="0" w:color="auto"/>
        <w:right w:val="none" w:sz="0" w:space="0" w:color="auto"/>
      </w:divBdr>
    </w:div>
    <w:div w:id="854655866">
      <w:bodyDiv w:val="1"/>
      <w:marLeft w:val="0"/>
      <w:marRight w:val="0"/>
      <w:marTop w:val="0"/>
      <w:marBottom w:val="0"/>
      <w:divBdr>
        <w:top w:val="none" w:sz="0" w:space="0" w:color="auto"/>
        <w:left w:val="none" w:sz="0" w:space="0" w:color="auto"/>
        <w:bottom w:val="none" w:sz="0" w:space="0" w:color="auto"/>
        <w:right w:val="none" w:sz="0" w:space="0" w:color="auto"/>
      </w:divBdr>
    </w:div>
    <w:div w:id="1050499031">
      <w:bodyDiv w:val="1"/>
      <w:marLeft w:val="0"/>
      <w:marRight w:val="0"/>
      <w:marTop w:val="0"/>
      <w:marBottom w:val="0"/>
      <w:divBdr>
        <w:top w:val="none" w:sz="0" w:space="0" w:color="auto"/>
        <w:left w:val="none" w:sz="0" w:space="0" w:color="auto"/>
        <w:bottom w:val="none" w:sz="0" w:space="0" w:color="auto"/>
        <w:right w:val="none" w:sz="0" w:space="0" w:color="auto"/>
      </w:divBdr>
    </w:div>
    <w:div w:id="1082796529">
      <w:bodyDiv w:val="1"/>
      <w:marLeft w:val="0"/>
      <w:marRight w:val="0"/>
      <w:marTop w:val="0"/>
      <w:marBottom w:val="0"/>
      <w:divBdr>
        <w:top w:val="none" w:sz="0" w:space="0" w:color="auto"/>
        <w:left w:val="none" w:sz="0" w:space="0" w:color="auto"/>
        <w:bottom w:val="none" w:sz="0" w:space="0" w:color="auto"/>
        <w:right w:val="none" w:sz="0" w:space="0" w:color="auto"/>
      </w:divBdr>
    </w:div>
    <w:div w:id="1306616806">
      <w:bodyDiv w:val="1"/>
      <w:marLeft w:val="0"/>
      <w:marRight w:val="0"/>
      <w:marTop w:val="0"/>
      <w:marBottom w:val="0"/>
      <w:divBdr>
        <w:top w:val="none" w:sz="0" w:space="0" w:color="auto"/>
        <w:left w:val="none" w:sz="0" w:space="0" w:color="auto"/>
        <w:bottom w:val="none" w:sz="0" w:space="0" w:color="auto"/>
        <w:right w:val="none" w:sz="0" w:space="0" w:color="auto"/>
      </w:divBdr>
    </w:div>
    <w:div w:id="1312707437">
      <w:bodyDiv w:val="1"/>
      <w:marLeft w:val="0"/>
      <w:marRight w:val="0"/>
      <w:marTop w:val="0"/>
      <w:marBottom w:val="0"/>
      <w:divBdr>
        <w:top w:val="none" w:sz="0" w:space="0" w:color="auto"/>
        <w:left w:val="none" w:sz="0" w:space="0" w:color="auto"/>
        <w:bottom w:val="none" w:sz="0" w:space="0" w:color="auto"/>
        <w:right w:val="none" w:sz="0" w:space="0" w:color="auto"/>
      </w:divBdr>
    </w:div>
    <w:div w:id="1330056194">
      <w:bodyDiv w:val="1"/>
      <w:marLeft w:val="0"/>
      <w:marRight w:val="0"/>
      <w:marTop w:val="0"/>
      <w:marBottom w:val="0"/>
      <w:divBdr>
        <w:top w:val="none" w:sz="0" w:space="0" w:color="auto"/>
        <w:left w:val="none" w:sz="0" w:space="0" w:color="auto"/>
        <w:bottom w:val="none" w:sz="0" w:space="0" w:color="auto"/>
        <w:right w:val="none" w:sz="0" w:space="0" w:color="auto"/>
      </w:divBdr>
    </w:div>
    <w:div w:id="1370229362">
      <w:bodyDiv w:val="1"/>
      <w:marLeft w:val="0"/>
      <w:marRight w:val="0"/>
      <w:marTop w:val="0"/>
      <w:marBottom w:val="0"/>
      <w:divBdr>
        <w:top w:val="none" w:sz="0" w:space="0" w:color="auto"/>
        <w:left w:val="none" w:sz="0" w:space="0" w:color="auto"/>
        <w:bottom w:val="none" w:sz="0" w:space="0" w:color="auto"/>
        <w:right w:val="none" w:sz="0" w:space="0" w:color="auto"/>
      </w:divBdr>
    </w:div>
    <w:div w:id="1522433473">
      <w:bodyDiv w:val="1"/>
      <w:marLeft w:val="0"/>
      <w:marRight w:val="0"/>
      <w:marTop w:val="0"/>
      <w:marBottom w:val="0"/>
      <w:divBdr>
        <w:top w:val="none" w:sz="0" w:space="0" w:color="auto"/>
        <w:left w:val="none" w:sz="0" w:space="0" w:color="auto"/>
        <w:bottom w:val="none" w:sz="0" w:space="0" w:color="auto"/>
        <w:right w:val="none" w:sz="0" w:space="0" w:color="auto"/>
      </w:divBdr>
    </w:div>
    <w:div w:id="1548640862">
      <w:bodyDiv w:val="1"/>
      <w:marLeft w:val="0"/>
      <w:marRight w:val="0"/>
      <w:marTop w:val="0"/>
      <w:marBottom w:val="0"/>
      <w:divBdr>
        <w:top w:val="none" w:sz="0" w:space="0" w:color="auto"/>
        <w:left w:val="none" w:sz="0" w:space="0" w:color="auto"/>
        <w:bottom w:val="none" w:sz="0" w:space="0" w:color="auto"/>
        <w:right w:val="none" w:sz="0" w:space="0" w:color="auto"/>
      </w:divBdr>
    </w:div>
    <w:div w:id="1642996414">
      <w:bodyDiv w:val="1"/>
      <w:marLeft w:val="0"/>
      <w:marRight w:val="0"/>
      <w:marTop w:val="0"/>
      <w:marBottom w:val="0"/>
      <w:divBdr>
        <w:top w:val="none" w:sz="0" w:space="0" w:color="auto"/>
        <w:left w:val="none" w:sz="0" w:space="0" w:color="auto"/>
        <w:bottom w:val="none" w:sz="0" w:space="0" w:color="auto"/>
        <w:right w:val="none" w:sz="0" w:space="0" w:color="auto"/>
      </w:divBdr>
    </w:div>
    <w:div w:id="1677538566">
      <w:bodyDiv w:val="1"/>
      <w:marLeft w:val="0"/>
      <w:marRight w:val="0"/>
      <w:marTop w:val="0"/>
      <w:marBottom w:val="0"/>
      <w:divBdr>
        <w:top w:val="none" w:sz="0" w:space="0" w:color="auto"/>
        <w:left w:val="none" w:sz="0" w:space="0" w:color="auto"/>
        <w:bottom w:val="none" w:sz="0" w:space="0" w:color="auto"/>
        <w:right w:val="none" w:sz="0" w:space="0" w:color="auto"/>
      </w:divBdr>
    </w:div>
    <w:div w:id="1787190520">
      <w:bodyDiv w:val="1"/>
      <w:marLeft w:val="0"/>
      <w:marRight w:val="0"/>
      <w:marTop w:val="0"/>
      <w:marBottom w:val="0"/>
      <w:divBdr>
        <w:top w:val="none" w:sz="0" w:space="0" w:color="auto"/>
        <w:left w:val="none" w:sz="0" w:space="0" w:color="auto"/>
        <w:bottom w:val="none" w:sz="0" w:space="0" w:color="auto"/>
        <w:right w:val="none" w:sz="0" w:space="0" w:color="auto"/>
      </w:divBdr>
    </w:div>
    <w:div w:id="1924102291">
      <w:bodyDiv w:val="1"/>
      <w:marLeft w:val="0"/>
      <w:marRight w:val="0"/>
      <w:marTop w:val="0"/>
      <w:marBottom w:val="0"/>
      <w:divBdr>
        <w:top w:val="none" w:sz="0" w:space="0" w:color="auto"/>
        <w:left w:val="none" w:sz="0" w:space="0" w:color="auto"/>
        <w:bottom w:val="none" w:sz="0" w:space="0" w:color="auto"/>
        <w:right w:val="none" w:sz="0" w:space="0" w:color="auto"/>
      </w:divBdr>
    </w:div>
    <w:div w:id="1948345344">
      <w:bodyDiv w:val="1"/>
      <w:marLeft w:val="0"/>
      <w:marRight w:val="0"/>
      <w:marTop w:val="0"/>
      <w:marBottom w:val="0"/>
      <w:divBdr>
        <w:top w:val="none" w:sz="0" w:space="0" w:color="auto"/>
        <w:left w:val="none" w:sz="0" w:space="0" w:color="auto"/>
        <w:bottom w:val="none" w:sz="0" w:space="0" w:color="auto"/>
        <w:right w:val="none" w:sz="0" w:space="0" w:color="auto"/>
      </w:divBdr>
    </w:div>
    <w:div w:id="1992129607">
      <w:bodyDiv w:val="1"/>
      <w:marLeft w:val="0"/>
      <w:marRight w:val="0"/>
      <w:marTop w:val="0"/>
      <w:marBottom w:val="0"/>
      <w:divBdr>
        <w:top w:val="none" w:sz="0" w:space="0" w:color="auto"/>
        <w:left w:val="none" w:sz="0" w:space="0" w:color="auto"/>
        <w:bottom w:val="none" w:sz="0" w:space="0" w:color="auto"/>
        <w:right w:val="none" w:sz="0" w:space="0" w:color="auto"/>
      </w:divBdr>
    </w:div>
    <w:div w:id="2035301913">
      <w:bodyDiv w:val="1"/>
      <w:marLeft w:val="0"/>
      <w:marRight w:val="0"/>
      <w:marTop w:val="0"/>
      <w:marBottom w:val="0"/>
      <w:divBdr>
        <w:top w:val="none" w:sz="0" w:space="0" w:color="auto"/>
        <w:left w:val="none" w:sz="0" w:space="0" w:color="auto"/>
        <w:bottom w:val="none" w:sz="0" w:space="0" w:color="auto"/>
        <w:right w:val="none" w:sz="0" w:space="0" w:color="auto"/>
      </w:divBdr>
    </w:div>
    <w:div w:id="204813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deng@nus.edu.sg"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reswujing@tsinghua.edu.cn" TargetMode="External"/><Relationship Id="rId4" Type="http://schemas.openxmlformats.org/officeDocument/2006/relationships/settings" Target="settings.xml"/><Relationship Id="rId9" Type="http://schemas.openxmlformats.org/officeDocument/2006/relationships/hyperlink" Target="mailto:gyourko@wharton.upenn.edu" TargetMode="Externa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D:\&#25105;&#30340;&#25991;&#26723;\&#23398;&#26415;\&#39033;&#30446;\&#22312;&#30740;&#27178;&#21521;\&#22303;&#22320;&#20215;&#26684;&#25351;&#25968;\white%20paper\&#24066;&#22330;&#20221;&#39069;.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456036745406859E-2"/>
          <c:y val="5.0925925925925923E-2"/>
          <c:w val="0.88498840769903764"/>
          <c:h val="0.86482283464566956"/>
        </c:manualLayout>
      </c:layout>
      <c:lineChart>
        <c:grouping val="standard"/>
        <c:varyColors val="0"/>
        <c:ser>
          <c:idx val="0"/>
          <c:order val="0"/>
          <c:tx>
            <c:v>Market Share by Floor Area</c:v>
          </c:tx>
          <c:spPr>
            <a:ln w="28575" cap="rnd">
              <a:solidFill>
                <a:schemeClr val="bg1">
                  <a:lumMod val="50000"/>
                </a:schemeClr>
              </a:solidFill>
              <a:prstDash val="dash"/>
              <a:round/>
            </a:ln>
            <a:effectLst/>
          </c:spPr>
          <c:marker>
            <c:symbol val="none"/>
          </c:marker>
          <c:cat>
            <c:numRef>
              <c:f>Sheet2!$B$2:$K$2</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Sheet2!$B$5:$K$5</c:f>
              <c:numCache>
                <c:formatCode>0.00%</c:formatCode>
                <c:ptCount val="10"/>
                <c:pt idx="0">
                  <c:v>0.50880561704961214</c:v>
                </c:pt>
                <c:pt idx="1">
                  <c:v>0.498843647855226</c:v>
                </c:pt>
                <c:pt idx="2">
                  <c:v>0.45986119683123283</c:v>
                </c:pt>
                <c:pt idx="3">
                  <c:v>0.44327279299731615</c:v>
                </c:pt>
                <c:pt idx="4">
                  <c:v>0.40265917672023305</c:v>
                </c:pt>
                <c:pt idx="5">
                  <c:v>0.40656516569313678</c:v>
                </c:pt>
                <c:pt idx="6">
                  <c:v>0.35167637698169163</c:v>
                </c:pt>
                <c:pt idx="7">
                  <c:v>0.33461328208741198</c:v>
                </c:pt>
                <c:pt idx="8">
                  <c:v>0.35400330623155546</c:v>
                </c:pt>
                <c:pt idx="9">
                  <c:v>0.34406044817055981</c:v>
                </c:pt>
              </c:numCache>
            </c:numRef>
          </c:val>
          <c:smooth val="0"/>
        </c:ser>
        <c:ser>
          <c:idx val="1"/>
          <c:order val="1"/>
          <c:tx>
            <c:v>Market Share by Total Value</c:v>
          </c:tx>
          <c:spPr>
            <a:ln w="28575" cap="rnd">
              <a:solidFill>
                <a:schemeClr val="tx1"/>
              </a:solidFill>
              <a:round/>
            </a:ln>
            <a:effectLst/>
          </c:spPr>
          <c:marker>
            <c:symbol val="none"/>
          </c:marker>
          <c:cat>
            <c:numRef>
              <c:f>Sheet2!$B$2:$K$2</c:f>
              <c:numCache>
                <c:formatCode>General</c:formatCode>
                <c:ptCount val="10"/>
                <c:pt idx="0">
                  <c:v>2004</c:v>
                </c:pt>
                <c:pt idx="1">
                  <c:v>2005</c:v>
                </c:pt>
                <c:pt idx="2">
                  <c:v>2006</c:v>
                </c:pt>
                <c:pt idx="3">
                  <c:v>2007</c:v>
                </c:pt>
                <c:pt idx="4">
                  <c:v>2008</c:v>
                </c:pt>
                <c:pt idx="5">
                  <c:v>2009</c:v>
                </c:pt>
                <c:pt idx="6">
                  <c:v>2010</c:v>
                </c:pt>
                <c:pt idx="7">
                  <c:v>2011</c:v>
                </c:pt>
                <c:pt idx="8">
                  <c:v>2012</c:v>
                </c:pt>
                <c:pt idx="9">
                  <c:v>2013</c:v>
                </c:pt>
              </c:numCache>
            </c:numRef>
          </c:cat>
          <c:val>
            <c:numRef>
              <c:f>Sheet2!$B$11:$K$11</c:f>
              <c:numCache>
                <c:formatCode>0.00%</c:formatCode>
                <c:ptCount val="10"/>
                <c:pt idx="0">
                  <c:v>0.70280315977135488</c:v>
                </c:pt>
                <c:pt idx="1">
                  <c:v>0.67678474314445791</c:v>
                </c:pt>
                <c:pt idx="2">
                  <c:v>0.64019506972938778</c:v>
                </c:pt>
                <c:pt idx="3">
                  <c:v>0.62129020182060279</c:v>
                </c:pt>
                <c:pt idx="4">
                  <c:v>0.57105786019038363</c:v>
                </c:pt>
                <c:pt idx="5">
                  <c:v>0.5764734895449638</c:v>
                </c:pt>
                <c:pt idx="6">
                  <c:v>0.5090406891713456</c:v>
                </c:pt>
                <c:pt idx="7">
                  <c:v>0.4745245156922574</c:v>
                </c:pt>
                <c:pt idx="8">
                  <c:v>0.49871681286662928</c:v>
                </c:pt>
                <c:pt idx="9">
                  <c:v>0.48722403192674835</c:v>
                </c:pt>
              </c:numCache>
            </c:numRef>
          </c:val>
          <c:smooth val="0"/>
        </c:ser>
        <c:dLbls>
          <c:showLegendKey val="0"/>
          <c:showVal val="0"/>
          <c:showCatName val="0"/>
          <c:showSerName val="0"/>
          <c:showPercent val="0"/>
          <c:showBubbleSize val="0"/>
        </c:dLbls>
        <c:smooth val="0"/>
        <c:axId val="-572665344"/>
        <c:axId val="-478434320"/>
      </c:lineChart>
      <c:catAx>
        <c:axId val="-572665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zh-CN"/>
          </a:p>
        </c:txPr>
        <c:crossAx val="-478434320"/>
        <c:crosses val="autoZero"/>
        <c:auto val="1"/>
        <c:lblAlgn val="ctr"/>
        <c:lblOffset val="100"/>
        <c:noMultiLvlLbl val="0"/>
      </c:catAx>
      <c:valAx>
        <c:axId val="-478434320"/>
        <c:scaling>
          <c:orientation val="minMax"/>
          <c:min val="0.30000000000000016"/>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zh-CN"/>
          </a:p>
        </c:txPr>
        <c:crossAx val="-572665344"/>
        <c:crosses val="autoZero"/>
        <c:crossBetween val="between"/>
      </c:valAx>
      <c:spPr>
        <a:noFill/>
        <a:ln>
          <a:noFill/>
        </a:ln>
        <a:effectLst/>
      </c:spPr>
    </c:plotArea>
    <c:legend>
      <c:legendPos val="b"/>
      <c:layout>
        <c:manualLayout>
          <c:xMode val="edge"/>
          <c:yMode val="edge"/>
          <c:x val="0.44480008748906397"/>
          <c:y val="8.8541119860017503E-2"/>
          <c:w val="0.50242213473315811"/>
          <c:h val="0.17997739865850104"/>
        </c:manualLayout>
      </c:layout>
      <c:overlay val="0"/>
      <c:spPr>
        <a:solidFill>
          <a:schemeClr val="bg1"/>
        </a:solid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zh-CN"/>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E2360-1264-4FE9-952E-A0156C749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1205</Words>
  <Characters>6869</Characters>
  <Application>Microsoft Office Word</Application>
  <DocSecurity>0</DocSecurity>
  <Lines>57</Lines>
  <Paragraphs>16</Paragraphs>
  <ScaleCrop>false</ScaleCrop>
  <Company>China</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Jing Wu</cp:lastModifiedBy>
  <cp:revision>12</cp:revision>
  <dcterms:created xsi:type="dcterms:W3CDTF">2013-11-01T02:43:00Z</dcterms:created>
  <dcterms:modified xsi:type="dcterms:W3CDTF">2014-08-25T13:01:00Z</dcterms:modified>
</cp:coreProperties>
</file>